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media/image1.png" ContentType="image/png"/>
  <Override PartName="/word/media/image2.png" ContentType="image/png"/>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7"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jc w:val="center"/>
                              <w:rPr>
                                <w:b/>
                                <w:lang w:val="es-BO"/>
                              </w:rPr>
                            </w:pPr>
                            <w:r>
                              <w:rPr>
                                <w:b/>
                                <w:color w:val="000000"/>
                                <w:lang w:val="es-BO"/>
                              </w:rPr>
                            </w:r>
                          </w:p>
                          <w:p>
                            <w:pPr>
                              <w:pStyle w:val="Contenidodelmarco"/>
                              <w:ind w:lef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jc w:val="center"/>
                              <w:rPr>
                                <w:b/>
                              </w:rPr>
                            </w:pPr>
                            <w:r>
                              <w:rPr>
                                <w:b/>
                                <w:color w:val="000000"/>
                              </w:rPr>
                            </w:r>
                          </w:p>
                          <w:p>
                            <w:pPr>
                              <w:pStyle w:val="Contenidodelmarco"/>
                              <w:ind w:left="-142"/>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ANPE GDMTR N° 11/2026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highlight w:val="none"/>
                                <w:shd w:fill="auto" w:val="clear"/>
                              </w:rPr>
                            </w:pPr>
                            <w:r>
                              <w:rPr>
                                <w:rFonts w:cs="Tahoma" w:ascii="Tahoma" w:hAnsi="Tahoma"/>
                                <w:b/>
                                <w:color w:val="000000"/>
                                <w:sz w:val="36"/>
                                <w:szCs w:val="36"/>
                                <w:shd w:fill="auto" w:val="clear"/>
                              </w:rPr>
                              <w:t xml:space="preserve"> </w:t>
                            </w:r>
                            <w:r>
                              <w:rPr>
                                <w:rFonts w:cs="Tahoma" w:ascii="Tahoma" w:hAnsi="Tahoma"/>
                                <w:b/>
                                <w:color w:val="000000"/>
                                <w:sz w:val="32"/>
                                <w:szCs w:val="32"/>
                                <w:shd w:fill="auto" w:val="clear"/>
                              </w:rPr>
                              <w:t>CONTRATACIÓN DE DOS (2) CONSULTORES INDIVIDUALES DE LINEA CONSULTOR J PARA EL PROYECTO “EMISIÓN DE ACTOS ADMINISTRATIVOS DEFINITIVOS Y ACTUADOS DE PROCEDIMIENTO – TJ” GERENCIA DISTRITAL MONTERO – GESTIÓN 2026.</w:t>
                            </w:r>
                          </w:p>
                          <w:p>
                            <w:pPr>
                              <w:pStyle w:val="Contenidodelmarco"/>
                              <w:jc w:val="center"/>
                              <w:rPr>
                                <w:rFonts w:ascii="Tahoma" w:hAnsi="Tahoma" w:cs="Tahoma"/>
                                <w:b/>
                                <w:color w:val="000000"/>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7748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774825"/>
                                          </a:xfrm>
                                          <a:prstGeom prst="rect">
                                            <a:avLst/>
                                          </a:prstGeom>
                                        </pic:spPr>
                                      </pic:pic>
                                    </a:graphicData>
                                  </a:graphic>
                                </wp:inline>
                              </w:drawing>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5"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24"/>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Pr>
          <w:rFonts w:cs="Tahoma"/>
          <w:szCs w:val="18"/>
          <w:lang w:val="es-BO"/>
        </w:rPr>
      </w:pPr>
      <w:r>
        <w:rPr>
          <w:rFonts w:cs="Tahoma"/>
          <w:szCs w:val="18"/>
          <w:lang w:val="es-BO"/>
        </w:rPr>
      </w:r>
    </w:p>
    <w:p>
      <w:pPr>
        <w:pStyle w:val="Title"/>
        <w:numPr>
          <w:ilvl w:val="0"/>
          <w:numId w:val="24"/>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itle"/>
        <w:numPr>
          <w:ilvl w:val="0"/>
          <w:numId w:val="24"/>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6"/>
        </w:numPr>
        <w:ind w:hanging="708" w:left="1134"/>
        <w:rPr>
          <w:b/>
          <w:lang w:val="es-BO"/>
        </w:rPr>
      </w:pPr>
      <w:bookmarkStart w:id="5" w:name="_Toc355779855"/>
      <w:r>
        <w:rPr>
          <w:b/>
          <w:lang w:val="es-BO"/>
        </w:rPr>
        <w:t>Consultas escritas sobre el DBC</w:t>
      </w:r>
      <w:bookmarkEnd w:id="5"/>
    </w:p>
    <w:p>
      <w:pPr>
        <w:pStyle w:val="Normal"/>
        <w:ind w:left="709"/>
        <w:rPr>
          <w:rFonts w:cs="Tahoma"/>
          <w:szCs w:val="18"/>
          <w:lang w:val="es-BO"/>
        </w:rPr>
      </w:pPr>
      <w:r>
        <w:rPr>
          <w:rFonts w:cs="Tahoma"/>
          <w:szCs w:val="18"/>
          <w:lang w:val="es-BO"/>
        </w:rPr>
      </w:r>
    </w:p>
    <w:p>
      <w:pPr>
        <w:pStyle w:val="Normal"/>
        <w:tabs>
          <w:tab w:val="clear" w:pos="709"/>
          <w:tab w:val="left" w:pos="1134" w:leader="none"/>
        </w:tabs>
        <w:ind w:hanging="567" w:left="1134"/>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hanging="567" w:left="1134"/>
        <w:rPr>
          <w:rFonts w:cs="Tahoma"/>
          <w:szCs w:val="18"/>
          <w:lang w:val="es-BO"/>
        </w:rPr>
      </w:pPr>
      <w:r>
        <w:rPr>
          <w:rFonts w:cs="Tahoma"/>
          <w:szCs w:val="18"/>
          <w:lang w:val="es-BO"/>
        </w:rPr>
      </w:r>
    </w:p>
    <w:p>
      <w:pPr>
        <w:pStyle w:val="SAUL"/>
        <w:numPr>
          <w:ilvl w:val="0"/>
          <w:numId w:val="26"/>
        </w:numPr>
        <w:ind w:hanging="708" w:left="1134"/>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rPr>
          <w:rFonts w:cs="Tahoma"/>
          <w:szCs w:val="18"/>
          <w:lang w:val="es-BO"/>
        </w:rPr>
      </w:pPr>
      <w:r>
        <w:rPr>
          <w:rFonts w:cs="Tahoma"/>
          <w:szCs w:val="18"/>
          <w:lang w:val="es-BO"/>
        </w:rPr>
      </w:r>
    </w:p>
    <w:p>
      <w:pPr>
        <w:pStyle w:val="Normal"/>
        <w:ind w:lef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r>
    </w:p>
    <w:p>
      <w:pPr>
        <w:pStyle w:val="Normal"/>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hanging="0" w:left="426"/>
        <w:rPr>
          <w:lang w:val="es-BO"/>
        </w:rPr>
      </w:pPr>
      <w:r>
        <w:rPr>
          <w:lang w:val="es-BO"/>
        </w:rPr>
      </w:r>
    </w:p>
    <w:p>
      <w:pPr>
        <w:pStyle w:val="SAUL"/>
        <w:numPr>
          <w:ilvl w:val="1"/>
          <w:numId w:val="16"/>
        </w:numPr>
        <w:tabs>
          <w:tab w:val="clear" w:pos="709"/>
        </w:tabs>
        <w:ind w:hanging="708" w:left="1134"/>
        <w:rPr>
          <w:b/>
          <w:bCs/>
          <w:szCs w:val="18"/>
          <w:lang w:val="es-BO"/>
        </w:rPr>
      </w:pPr>
      <w:r>
        <w:rPr>
          <w:b/>
          <w:bCs/>
          <w:szCs w:val="18"/>
          <w:lang w:val="es-BO"/>
        </w:rPr>
        <w:t>Las garantías requeridas, de acuerdo con el objeto, son:</w:t>
      </w:r>
    </w:p>
    <w:p>
      <w:pPr>
        <w:pStyle w:val="SAUL"/>
        <w:numPr>
          <w:ilvl w:val="0"/>
          <w:numId w:val="0"/>
        </w:numPr>
        <w:ind w:hanging="0" w:left="1134"/>
        <w:rPr>
          <w:b/>
          <w:bCs/>
          <w:szCs w:val="18"/>
          <w:lang w:val="es-BO"/>
        </w:rPr>
      </w:pPr>
      <w:r>
        <w:rPr>
          <w:b/>
          <w:bCs/>
          <w:szCs w:val="18"/>
          <w:lang w:val="es-BO"/>
        </w:rPr>
      </w:r>
    </w:p>
    <w:p>
      <w:pPr>
        <w:pStyle w:val="Normal"/>
        <w:numPr>
          <w:ilvl w:val="0"/>
          <w:numId w:val="12"/>
        </w:numPr>
        <w:tabs>
          <w:tab w:val="clear" w:pos="709"/>
          <w:tab w:val="left" w:pos="45" w:leader="none"/>
          <w:tab w:val="left" w:pos="2160" w:leader="none"/>
        </w:tabs>
        <w:ind w:hanging="425" w:lef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left="1134"/>
        <w:rPr>
          <w:szCs w:val="18"/>
          <w:lang w:val="es-BO"/>
        </w:rPr>
      </w:pPr>
      <w:r>
        <w:rPr>
          <w:szCs w:val="18"/>
          <w:lang w:val="es-BO"/>
        </w:rPr>
      </w:r>
    </w:p>
    <w:p>
      <w:pPr>
        <w:pStyle w:val="Normal"/>
        <w:numPr>
          <w:ilvl w:val="0"/>
          <w:numId w:val="12"/>
        </w:numPr>
        <w:tabs>
          <w:tab w:val="clear" w:pos="709"/>
          <w:tab w:val="left" w:pos="45" w:leader="none"/>
          <w:tab w:val="left" w:pos="2160" w:leader="none"/>
        </w:tabs>
        <w:ind w:hanging="425" w:lef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Normal"/>
        <w:tabs>
          <w:tab w:val="clear" w:pos="709"/>
          <w:tab w:val="left" w:pos="2160" w:leader="none"/>
        </w:tabs>
        <w:ind w:hanging="425" w:lef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hanging="425" w:left="1701"/>
        <w:rPr>
          <w:rFonts w:cs="Tahoma"/>
          <w:szCs w:val="18"/>
          <w:lang w:val="es-BO"/>
        </w:rPr>
      </w:pPr>
      <w:r>
        <w:rPr>
          <w:rFonts w:cs="Tahoma"/>
          <w:szCs w:val="18"/>
          <w:lang w:val="es-BO"/>
        </w:rPr>
      </w:r>
    </w:p>
    <w:p>
      <w:pPr>
        <w:pStyle w:val="Normal"/>
        <w:numPr>
          <w:ilvl w:val="0"/>
          <w:numId w:val="12"/>
        </w:numPr>
        <w:tabs>
          <w:tab w:val="clear" w:pos="709"/>
          <w:tab w:val="left" w:pos="45" w:leader="none"/>
          <w:tab w:val="left" w:pos="2160" w:leader="none"/>
        </w:tabs>
        <w:ind w:hanging="425" w:lef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SAUL"/>
        <w:numPr>
          <w:ilvl w:val="1"/>
          <w:numId w:val="16"/>
        </w:numPr>
        <w:tabs>
          <w:tab w:val="clear" w:pos="709"/>
        </w:tabs>
        <w:ind w:hanging="708" w:left="1134"/>
        <w:rPr>
          <w:rFonts w:cs="Arial"/>
          <w:b/>
          <w:szCs w:val="18"/>
          <w:lang w:val="es-BO"/>
        </w:rPr>
      </w:pPr>
      <w:r>
        <w:rPr>
          <w:rFonts w:cs="Arial"/>
          <w:b/>
          <w:szCs w:val="18"/>
          <w:lang w:val="es-BO"/>
        </w:rPr>
        <w:t>Ejecución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1"/>
          <w:numId w:val="16"/>
        </w:numPr>
        <w:tabs>
          <w:tab w:val="clear" w:pos="709"/>
        </w:tabs>
        <w:ind w:hanging="708" w:left="1134"/>
        <w:rPr>
          <w:rFonts w:cs="Arial"/>
          <w:b/>
          <w:szCs w:val="18"/>
          <w:lang w:val="es-BO"/>
        </w:rPr>
      </w:pPr>
      <w:r>
        <w:rPr>
          <w:rFonts w:cs="Arial"/>
          <w:b/>
          <w:szCs w:val="18"/>
          <w:lang w:val="es-BO"/>
        </w:rPr>
        <w:t>Devolución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left="1134"/>
        <w:rPr>
          <w:rFonts w:cs="Arial"/>
          <w:szCs w:val="18"/>
          <w:lang w:val="es-BO"/>
        </w:rPr>
      </w:pPr>
      <w:r>
        <w:rPr>
          <w:rFonts w:cs="Arial"/>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6"/>
        </w:numPr>
        <w:tabs>
          <w:tab w:val="clear" w:pos="709"/>
        </w:tabs>
        <w:ind w:hanging="708" w:lef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itle"/>
        <w:numPr>
          <w:ilvl w:val="0"/>
          <w:numId w:val="16"/>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hanging="0"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hanging="0" w:left="1134"/>
        <w:rPr>
          <w:b/>
          <w:szCs w:val="18"/>
          <w:lang w:val="es-BO"/>
        </w:rPr>
      </w:pPr>
      <w:r>
        <w:rPr>
          <w:b/>
          <w:szCs w:val="18"/>
          <w:lang w:val="es-BO"/>
        </w:rPr>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pPr>
        <w:pStyle w:val="Normal"/>
        <w:ind w:left="3036"/>
        <w:rPr>
          <w:rFonts w:cs="Tahoma"/>
          <w:b/>
          <w:szCs w:val="18"/>
          <w:lang w:val="es-BO"/>
        </w:rPr>
      </w:pPr>
      <w:r>
        <w:rPr>
          <w:rFonts w:cs="Tahoma"/>
          <w:b/>
          <w:szCs w:val="18"/>
          <w:lang w:val="es-BO"/>
        </w:rPr>
      </w:r>
    </w:p>
    <w:p>
      <w:pPr>
        <w:pStyle w:val="SAUL"/>
        <w:numPr>
          <w:ilvl w:val="1"/>
          <w:numId w:val="16"/>
        </w:numPr>
        <w:tabs>
          <w:tab w:val="clear" w:pos="709"/>
        </w:tabs>
        <w:ind w:hanging="708" w:left="1134"/>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Pr>
          <w:rFonts w:cs="Arial"/>
          <w:szCs w:val="18"/>
          <w:lang w:val="es-BO"/>
        </w:rPr>
      </w:pPr>
      <w:r>
        <w:rPr>
          <w:rFonts w:cs="Arial"/>
          <w:szCs w:val="18"/>
          <w:lang w:val="es-BO"/>
        </w:rPr>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left="1134"/>
        <w:rPr>
          <w:rFonts w:cs="Arial"/>
          <w:szCs w:val="18"/>
          <w:lang w:val="es-BO"/>
        </w:rPr>
      </w:pPr>
      <w:r>
        <w:rPr>
          <w:rFonts w:cs="Arial"/>
          <w:szCs w:val="18"/>
          <w:lang w:val="es-BO"/>
        </w:rPr>
      </w:r>
    </w:p>
    <w:p>
      <w:pPr>
        <w:pStyle w:val="SAUL"/>
        <w:numPr>
          <w:ilvl w:val="1"/>
          <w:numId w:val="16"/>
        </w:numPr>
        <w:tabs>
          <w:tab w:val="clear" w:pos="709"/>
        </w:tabs>
        <w:ind w:hanging="708" w:left="1134"/>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Title"/>
        <w:spacing w:before="0" w:after="0"/>
        <w:ind w:left="426"/>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9"/>
        </w:numPr>
        <w:ind w:hanging="284" w:left="1560"/>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9"/>
        </w:numPr>
        <w:ind w:hanging="284" w:left="1560"/>
        <w:rPr>
          <w:rFonts w:cs="Arial"/>
          <w:szCs w:val="18"/>
          <w:lang w:val="es-BO"/>
        </w:rPr>
      </w:pPr>
      <w:r>
        <w:rPr>
          <w:rFonts w:cs="Arial"/>
          <w:szCs w:val="18"/>
          <w:lang w:val="es-BO"/>
        </w:rPr>
        <w:t>Falta de firma del proponente en el Formulario de Presentación de Propuesta (Formulario A-1);</w:t>
      </w:r>
    </w:p>
    <w:p>
      <w:pPr>
        <w:pStyle w:val="Normal"/>
        <w:numPr>
          <w:ilvl w:val="1"/>
          <w:numId w:val="19"/>
        </w:numPr>
        <w:ind w:hanging="284" w:left="1560"/>
        <w:rPr>
          <w:rFonts w:cs="Arial"/>
          <w:szCs w:val="18"/>
          <w:lang w:val="es-BO"/>
        </w:rPr>
      </w:pPr>
      <w:r>
        <w:rPr>
          <w:rFonts w:cs="Arial"/>
          <w:szCs w:val="18"/>
          <w:lang w:val="es-BO"/>
        </w:rPr>
        <w:t>Falta de la propuesta técnica o parte de ella;</w:t>
      </w:r>
    </w:p>
    <w:p>
      <w:pPr>
        <w:pStyle w:val="Normal"/>
        <w:numPr>
          <w:ilvl w:val="1"/>
          <w:numId w:val="19"/>
        </w:numPr>
        <w:ind w:hanging="284" w:left="1560"/>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9"/>
        </w:numPr>
        <w:ind w:hanging="284" w:left="1560"/>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9"/>
        </w:numPr>
        <w:ind w:hanging="284" w:left="1560"/>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9"/>
        </w:numPr>
        <w:ind w:hanging="284" w:left="1560"/>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9"/>
        </w:numPr>
        <w:ind w:hanging="284" w:left="1560"/>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9"/>
        </w:numPr>
        <w:ind w:hanging="284" w:lef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Pr>
          <w:rFonts w:cs="Arial"/>
          <w:szCs w:val="18"/>
          <w:lang w:val="es-BO"/>
        </w:rPr>
      </w:pPr>
      <w:r>
        <w:rPr>
          <w:rFonts w:cs="Arial"/>
          <w:szCs w:val="18"/>
          <w:lang w:val="es-BO"/>
        </w:rPr>
      </w:r>
    </w:p>
    <w:p>
      <w:pPr>
        <w:pStyle w:val="Title"/>
        <w:numPr>
          <w:ilvl w:val="0"/>
          <w:numId w:val="16"/>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left="720"/>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left="360"/>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Pr>
          <w:rFonts w:cs="Tahoma"/>
          <w:szCs w:val="18"/>
          <w:lang w:val="es-BO"/>
        </w:rPr>
      </w:pPr>
      <w:r>
        <w:rPr>
          <w:rFonts w:cs="Tahoma"/>
          <w:szCs w:val="18"/>
          <w:lang w:val="es-BO"/>
        </w:rPr>
      </w:r>
    </w:p>
    <w:p>
      <w:pPr>
        <w:pStyle w:val="Normal"/>
        <w:ind w:left="426"/>
        <w:jc w:val="center"/>
        <w:rPr>
          <w:rFonts w:cs="Tahoma"/>
          <w:b/>
          <w:bCs/>
          <w:szCs w:val="18"/>
          <w:lang w:val="es-BO"/>
        </w:rPr>
      </w:pPr>
      <w:r>
        <w:rPr>
          <w:rFonts w:cs="Tahoma"/>
          <w:b/>
          <w:bCs/>
          <w:szCs w:val="18"/>
          <w:lang w:val="es-BO"/>
        </w:rPr>
        <w:t>SECCIÓN II</w:t>
      </w:r>
    </w:p>
    <w:p>
      <w:pPr>
        <w:pStyle w:val="Normal"/>
        <w:ind w:left="426"/>
        <w:jc w:val="center"/>
        <w:rPr>
          <w:rFonts w:cs="Tahoma"/>
          <w:b/>
          <w:bCs/>
          <w:szCs w:val="18"/>
          <w:lang w:val="es-BO"/>
        </w:rPr>
      </w:pPr>
      <w:r>
        <w:rPr>
          <w:rFonts w:cs="Tahoma"/>
          <w:b/>
          <w:bCs/>
          <w:szCs w:val="18"/>
          <w:lang w:val="es-BO"/>
        </w:rPr>
        <w:t>PREPARACIÓN DE LAS PROPUESTAS</w:t>
      </w:r>
    </w:p>
    <w:p>
      <w:pPr>
        <w:pStyle w:val="Normal"/>
        <w:ind w:left="426"/>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16"/>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Pr>
          <w:rFonts w:cs="Tahoma"/>
          <w:b/>
          <w:szCs w:val="18"/>
          <w:lang w:val="es-BO" w:eastAsia="en-US"/>
        </w:rPr>
      </w:pPr>
      <w:r>
        <w:rPr>
          <w:rFonts w:cs="Tahoma"/>
          <w:b/>
          <w:szCs w:val="18"/>
          <w:lang w:val="es-BO" w:eastAsia="en-US"/>
        </w:rPr>
      </w:r>
    </w:p>
    <w:p>
      <w:pPr>
        <w:pStyle w:val="Normal"/>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Pr>
          <w:rFonts w:cs="Tahoma"/>
          <w:bCs/>
          <w:szCs w:val="18"/>
          <w:lang w:val="es-BO" w:eastAsia="en-US"/>
        </w:rPr>
      </w:pPr>
      <w:r>
        <w:rPr>
          <w:rFonts w:cs="Tahoma"/>
          <w:bCs/>
          <w:szCs w:val="18"/>
          <w:lang w:val="es-BO" w:eastAsia="en-US"/>
        </w:rPr>
      </w:r>
    </w:p>
    <w:p>
      <w:pPr>
        <w:pStyle w:val="SAUL"/>
        <w:numPr>
          <w:ilvl w:val="1"/>
          <w:numId w:val="16"/>
        </w:numPr>
        <w:tabs>
          <w:tab w:val="clear" w:pos="709"/>
        </w:tabs>
        <w:ind w:hanging="708" w:left="1134"/>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itle"/>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20"/>
        </w:numPr>
        <w:ind w:hanging="425" w:lef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20"/>
        </w:numPr>
        <w:ind w:hanging="425" w:left="1701"/>
        <w:rPr>
          <w:rFonts w:cs="Arial"/>
          <w:szCs w:val="18"/>
          <w:lang w:val="es-BO"/>
        </w:rPr>
      </w:pPr>
      <w:r>
        <w:rPr>
          <w:rFonts w:cs="Arial"/>
          <w:szCs w:val="18"/>
          <w:lang w:val="es-BO"/>
        </w:rPr>
        <w:t xml:space="preserve">Formulario de Identificación del Proponente (Formulario A-2); </w:t>
      </w:r>
    </w:p>
    <w:p>
      <w:pPr>
        <w:pStyle w:val="Normal"/>
        <w:numPr>
          <w:ilvl w:val="0"/>
          <w:numId w:val="20"/>
        </w:numPr>
        <w:ind w:hanging="425" w:lef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20"/>
        </w:numPr>
        <w:ind w:hanging="425" w:lef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20"/>
        </w:numPr>
        <w:ind w:hanging="425" w:left="1701"/>
        <w:rPr>
          <w:rFonts w:cs="Arial"/>
          <w:szCs w:val="18"/>
          <w:lang w:val="es-BO"/>
        </w:rPr>
      </w:pPr>
      <w:r>
        <w:rPr>
          <w:rFonts w:cs="Arial"/>
          <w:szCs w:val="18"/>
          <w:lang w:val="es-BO"/>
        </w:rPr>
        <w:t>Formulario de Condiciones Adicionales (Formulario C-2);</w:t>
      </w:r>
    </w:p>
    <w:p>
      <w:pPr>
        <w:pStyle w:val="Normal"/>
        <w:numPr>
          <w:ilvl w:val="0"/>
          <w:numId w:val="20"/>
        </w:numPr>
        <w:ind w:hanging="425" w:lef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Pr>
          <w:szCs w:val="20"/>
          <w:lang w:val="es-BO"/>
        </w:rPr>
      </w:pPr>
      <w:r>
        <w:rPr>
          <w:szCs w:val="20"/>
          <w:lang w:val="es-BO"/>
        </w:rPr>
      </w:r>
    </w:p>
    <w:p>
      <w:pPr>
        <w:pStyle w:val="Normal"/>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Pr>
          <w:rFonts w:cs="Arial"/>
          <w:szCs w:val="18"/>
          <w:lang w:val="es-BO"/>
        </w:rPr>
      </w:pPr>
      <w:r>
        <w:rPr>
          <w:rFonts w:cs="Arial"/>
          <w:szCs w:val="18"/>
          <w:lang w:val="es-BO"/>
        </w:rPr>
      </w:r>
    </w:p>
    <w:p>
      <w:pPr>
        <w:pStyle w:val="SAUL"/>
        <w:numPr>
          <w:ilvl w:val="1"/>
          <w:numId w:val="16"/>
        </w:numPr>
        <w:tabs>
          <w:tab w:val="clear" w:pos="709"/>
        </w:tabs>
        <w:ind w:hanging="708" w:lef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cs="Tahoma"/>
          <w:szCs w:val="18"/>
          <w:lang w:val="es-BO"/>
        </w:rPr>
      </w:pPr>
      <w:r>
        <w:rPr>
          <w:rFonts w:cs="Tahoma"/>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rPr>
          <w:rFonts w:cs="Arial"/>
          <w:szCs w:val="18"/>
          <w:lang w:val="es-BO"/>
        </w:rPr>
      </w:pPr>
      <w:r>
        <w:rPr>
          <w:rFonts w:cs="Arial"/>
          <w:szCs w:val="18"/>
          <w:lang w:val="es-BO"/>
        </w:rPr>
        <w:tab/>
      </w:r>
    </w:p>
    <w:p>
      <w:pPr>
        <w:pStyle w:val="Normal"/>
        <w:tabs>
          <w:tab w:val="clear" w:pos="709"/>
          <w:tab w:val="left" w:pos="1134" w:leader="none"/>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itle"/>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985"/>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itle"/>
        <w:spacing w:before="0" w:after="0"/>
        <w:ind w:left="1985"/>
        <w:jc w:val="both"/>
        <w:rPr>
          <w:rFonts w:ascii="Verdana" w:hAnsi="Verdana"/>
          <w:b w:val="false"/>
          <w:bCs w:val="false"/>
          <w:sz w:val="18"/>
        </w:rPr>
      </w:pPr>
      <w:r>
        <w:rPr>
          <w:rFonts w:ascii="Verdana" w:hAnsi="Verdana"/>
          <w:b w:val="false"/>
          <w:bCs w:val="false"/>
          <w:sz w:val="18"/>
        </w:rPr>
      </w:r>
    </w:p>
    <w:p>
      <w:pPr>
        <w:pStyle w:val="Title"/>
        <w:numPr>
          <w:ilvl w:val="0"/>
          <w:numId w:val="32"/>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itle"/>
        <w:numPr>
          <w:ilvl w:val="0"/>
          <w:numId w:val="32"/>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16"/>
        </w:numPr>
        <w:tabs>
          <w:tab w:val="clear" w:pos="709"/>
        </w:tabs>
        <w:spacing w:before="0" w:after="0"/>
        <w:ind w:hanging="851" w:left="1985"/>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1"/>
          <w:numId w:val="16"/>
        </w:numPr>
        <w:tabs>
          <w:tab w:val="clear" w:pos="709"/>
        </w:tabs>
        <w:spacing w:before="0" w:after="0"/>
        <w:ind w:hanging="708" w:left="1134"/>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itle"/>
        <w:numPr>
          <w:ilvl w:val="0"/>
          <w:numId w:val="33"/>
        </w:numPr>
        <w:ind w:hanging="360" w:left="1418"/>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itle"/>
        <w:numPr>
          <w:ilvl w:val="0"/>
          <w:numId w:val="33"/>
        </w:numPr>
        <w:ind w:hanging="360" w:left="1418"/>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itle"/>
        <w:ind w:left="1418"/>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itle"/>
        <w:numPr>
          <w:ilvl w:val="0"/>
          <w:numId w:val="33"/>
        </w:numPr>
        <w:ind w:hanging="360" w:left="1418"/>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itle"/>
        <w:numPr>
          <w:ilvl w:val="0"/>
          <w:numId w:val="33"/>
        </w:numPr>
        <w:ind w:hanging="360" w:left="1418"/>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itle"/>
        <w:ind w:left="1418"/>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itle"/>
        <w:numPr>
          <w:ilvl w:val="0"/>
          <w:numId w:val="33"/>
        </w:numPr>
        <w:ind w:hanging="360" w:left="1418"/>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itle"/>
        <w:numPr>
          <w:ilvl w:val="0"/>
          <w:numId w:val="33"/>
        </w:numPr>
        <w:ind w:hanging="360" w:left="1418"/>
        <w:jc w:val="both"/>
        <w:rPr>
          <w:rFonts w:ascii="Verdana" w:hAnsi="Verdana"/>
          <w:b w:val="false"/>
          <w:bCs w:val="false"/>
          <w:sz w:val="18"/>
          <w:szCs w:val="18"/>
          <w:highlight w:val="yellow"/>
          <w:lang w:val="es-BO"/>
        </w:rPr>
      </w:pPr>
      <w:bookmarkStart w:id="63" w:name="_Toc61867842"/>
      <w:bookmarkStart w:id="64" w:name="_Toc61867840_Copia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itle"/>
        <w:ind w:left="1418"/>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itle"/>
        <w:spacing w:before="0" w:after="60"/>
        <w:ind w:lef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spacing w:before="0" w:after="0"/>
        <w:ind w:left="1134"/>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itle"/>
        <w:ind w:left="39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itle"/>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Pr>
          <w:rFonts w:cs="Tahoma"/>
          <w:szCs w:val="18"/>
          <w:lang w:val="es-BO" w:eastAsia="en-US"/>
        </w:rPr>
      </w:pPr>
      <w:r>
        <w:rPr>
          <w:rFonts w:cs="Tahoma"/>
          <w:szCs w:val="18"/>
          <w:lang w:val="es-BO" w:eastAsia="en-US"/>
        </w:rPr>
      </w:r>
    </w:p>
    <w:p>
      <w:pPr>
        <w:pStyle w:val="Normal"/>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Pr>
          <w:rFonts w:cs="Arial"/>
          <w:szCs w:val="18"/>
          <w:lang w:val="es-BO"/>
        </w:rPr>
      </w:pPr>
      <w:r>
        <w:rPr>
          <w:rFonts w:cs="Arial"/>
          <w:szCs w:val="18"/>
          <w:lang w:val="es-BO"/>
        </w:rPr>
      </w:r>
    </w:p>
    <w:p>
      <w:pPr>
        <w:pStyle w:val="Normal"/>
        <w:numPr>
          <w:ilvl w:val="0"/>
          <w:numId w:val="21"/>
        </w:numPr>
        <w:tabs>
          <w:tab w:val="clear" w:pos="709"/>
          <w:tab w:val="left" w:pos="1701" w:leader="none"/>
        </w:tabs>
        <w:ind w:hanging="567" w:left="1701"/>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21"/>
        </w:numPr>
        <w:tabs>
          <w:tab w:val="clear" w:pos="709"/>
          <w:tab w:val="left" w:pos="1701" w:leader="none"/>
        </w:tabs>
        <w:ind w:hanging="567" w:lef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21"/>
        </w:numPr>
        <w:tabs>
          <w:tab w:val="clear" w:pos="709"/>
          <w:tab w:val="left" w:pos="1701" w:leader="none"/>
        </w:tabs>
        <w:ind w:hanging="567" w:lef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rPr>
          <w:rFonts w:cs="Arial"/>
          <w:b/>
          <w:i/>
          <w:i/>
          <w:szCs w:val="18"/>
          <w:lang w:val="es-BO"/>
        </w:rPr>
      </w:pPr>
      <w:r>
        <w:rPr>
          <w:rFonts w:cs="Arial"/>
          <w:b/>
          <w:i/>
          <w:szCs w:val="18"/>
          <w:lang w:val="es-BO"/>
        </w:rPr>
      </w:r>
    </w:p>
    <w:p>
      <w:pPr>
        <w:pStyle w:val="Title"/>
        <w:numPr>
          <w:ilvl w:val="0"/>
          <w:numId w:val="16"/>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Pr>
          <w:rFonts w:cs="Arial"/>
          <w:szCs w:val="18"/>
        </w:rPr>
      </w:pPr>
      <w:r>
        <w:rPr>
          <w:rFonts w:cs="Arial"/>
          <w:szCs w:val="18"/>
        </w:rPr>
      </w:r>
    </w:p>
    <w:p>
      <w:pPr>
        <w:pStyle w:val="Normal"/>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Normal"/>
        <w:ind w:left="780"/>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Title"/>
        <w:numPr>
          <w:ilvl w:val="0"/>
          <w:numId w:val="16"/>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Pr>
          <w:rFonts w:cs="Tahoma"/>
          <w:szCs w:val="18"/>
          <w:lang w:val="es-BO"/>
        </w:rPr>
      </w:pPr>
      <w:r>
        <w:rPr>
          <w:rFonts w:cs="Tahoma"/>
          <w:szCs w:val="18"/>
          <w:lang w:val="es-BO"/>
        </w:rPr>
      </w:r>
    </w:p>
    <w:p>
      <w:pPr>
        <w:pStyle w:val="Normal"/>
        <w:ind w:lef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Pr>
          <w:rFonts w:ascii="Tahoma" w:hAnsi="Tahoma" w:cs="Tahoma"/>
          <w:szCs w:val="18"/>
          <w:lang w:val="es-BO"/>
        </w:rPr>
      </w:pPr>
      <w:r>
        <w:rPr>
          <w:rFonts w:cs="Tahoma" w:ascii="Tahoma" w:hAnsi="Tahoma"/>
          <w:szCs w:val="18"/>
          <w:lang w:val="es-BO"/>
        </w:rPr>
      </w:r>
    </w:p>
    <w:p>
      <w:pPr>
        <w:pStyle w:val="SAUL"/>
        <w:numPr>
          <w:ilvl w:val="1"/>
          <w:numId w:val="16"/>
        </w:numPr>
        <w:tabs>
          <w:tab w:val="clear" w:pos="709"/>
        </w:tabs>
        <w:ind w:hanging="708" w:left="1134"/>
        <w:rPr>
          <w:rFonts w:cs="Tahoma"/>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Pr>
          <w:rFonts w:cs="Arial"/>
          <w:szCs w:val="18"/>
          <w:lang w:val="es-BO"/>
        </w:rPr>
      </w:pPr>
      <w:r>
        <w:rPr>
          <w:rFonts w:cs="Arial"/>
          <w:szCs w:val="18"/>
          <w:lang w:val="es-BO"/>
        </w:rPr>
      </w:r>
    </w:p>
    <w:p>
      <w:pPr>
        <w:pStyle w:val="Normal"/>
        <w:numPr>
          <w:ilvl w:val="0"/>
          <w:numId w:val="14"/>
        </w:numPr>
        <w:rPr>
          <w:rFonts w:cs="Arial"/>
          <w:szCs w:val="18"/>
          <w:lang w:val="es-BO"/>
        </w:rPr>
      </w:pPr>
      <w:r>
        <w:rPr>
          <w:rFonts w:cs="Arial"/>
          <w:szCs w:val="18"/>
          <w:lang w:val="es-BO"/>
        </w:rPr>
        <w:t>Nómina de los proponentes;</w:t>
      </w:r>
    </w:p>
    <w:p>
      <w:pPr>
        <w:pStyle w:val="Normal"/>
        <w:numPr>
          <w:ilvl w:val="0"/>
          <w:numId w:val="14"/>
        </w:numPr>
        <w:rPr>
          <w:rFonts w:cs="Arial"/>
          <w:szCs w:val="18"/>
          <w:lang w:val="es-BO"/>
        </w:rPr>
      </w:pPr>
      <w:r>
        <w:rPr>
          <w:rFonts w:cs="Arial"/>
          <w:szCs w:val="18"/>
          <w:lang w:val="es-BO"/>
        </w:rPr>
        <w:t>Cuadros de Evaluación;</w:t>
      </w:r>
    </w:p>
    <w:p>
      <w:pPr>
        <w:pStyle w:val="Normal"/>
        <w:numPr>
          <w:ilvl w:val="0"/>
          <w:numId w:val="14"/>
        </w:numPr>
        <w:rPr>
          <w:rFonts w:cs="Arial"/>
          <w:szCs w:val="18"/>
          <w:lang w:val="es-BO"/>
        </w:rPr>
      </w:pPr>
      <w:r>
        <w:rPr>
          <w:rFonts w:cs="Arial"/>
          <w:szCs w:val="18"/>
          <w:lang w:val="es-BO"/>
        </w:rPr>
        <w:t>Detalle de errores subsanables, cuando corresponda;</w:t>
      </w:r>
    </w:p>
    <w:p>
      <w:pPr>
        <w:pStyle w:val="Normal"/>
        <w:numPr>
          <w:ilvl w:val="0"/>
          <w:numId w:val="14"/>
        </w:numPr>
        <w:rPr>
          <w:rFonts w:cs="Arial"/>
          <w:szCs w:val="18"/>
          <w:lang w:val="es-BO"/>
        </w:rPr>
      </w:pPr>
      <w:r>
        <w:rPr>
          <w:rFonts w:cs="Arial"/>
          <w:szCs w:val="18"/>
          <w:lang w:val="es-BO"/>
        </w:rPr>
        <w:t>Causales para la descalificación de propuestas, cuando corresponda;</w:t>
      </w:r>
    </w:p>
    <w:p>
      <w:pPr>
        <w:pStyle w:val="Normal"/>
        <w:numPr>
          <w:ilvl w:val="0"/>
          <w:numId w:val="14"/>
        </w:numPr>
        <w:rPr>
          <w:rFonts w:cs="Arial"/>
          <w:b/>
          <w:szCs w:val="18"/>
          <w:lang w:val="es-BO"/>
        </w:rPr>
      </w:pPr>
      <w:r>
        <w:rPr>
          <w:rFonts w:cs="Arial"/>
          <w:szCs w:val="18"/>
          <w:lang w:val="es-BO"/>
        </w:rPr>
        <w:t>Recomendación de Adjudicación o Declaratoria Desierta;</w:t>
      </w:r>
    </w:p>
    <w:p>
      <w:pPr>
        <w:pStyle w:val="Normal"/>
        <w:numPr>
          <w:ilvl w:val="0"/>
          <w:numId w:val="14"/>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1"/>
          <w:numId w:val="16"/>
        </w:numPr>
        <w:tabs>
          <w:tab w:val="clear" w:pos="709"/>
        </w:tabs>
        <w:ind w:hanging="708" w:left="1134"/>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szCs w:val="18"/>
          <w:lang w:val="es-BO"/>
        </w:rPr>
      </w:pP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7"/>
        </w:numPr>
        <w:tabs>
          <w:tab w:val="clear" w:pos="709"/>
        </w:tabs>
        <w:ind w:hanging="283" w:lef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Pr>
          <w:rFonts w:ascii="Verdana" w:hAnsi="Verdana" w:cs="Arial"/>
          <w:sz w:val="18"/>
          <w:szCs w:val="18"/>
          <w:lang w:val="es-BO"/>
        </w:rPr>
      </w:pPr>
      <w:r>
        <w:rPr>
          <w:rFonts w:cs="Arial" w:ascii="Verdana" w:hAnsi="Verdana"/>
          <w:sz w:val="18"/>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Pr>
          <w:rFonts w:ascii="Verdana" w:hAnsi="Verdana" w:cs="Arial"/>
          <w:sz w:val="18"/>
          <w:szCs w:val="18"/>
          <w:lang w:val="es-BO"/>
        </w:rPr>
      </w:pPr>
      <w:r>
        <w:rPr>
          <w:rFonts w:cs="Arial" w:ascii="Verdana" w:hAnsi="Verdana"/>
          <w:sz w:val="18"/>
          <w:szCs w:val="18"/>
          <w:lang w:val="es-BO"/>
        </w:rPr>
      </w:r>
      <w:bookmarkStart w:id="88" w:name="_Toc355779887_Copia_1"/>
      <w:bookmarkStart w:id="89" w:name="_Toc347485799_Copia_1"/>
      <w:bookmarkStart w:id="90" w:name="_Toc355779887_Copia_1"/>
      <w:bookmarkStart w:id="91" w:name="_Toc347485799_Copia_1"/>
      <w:bookmarkEnd w:id="90"/>
      <w:bookmarkEnd w:id="91"/>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2" w:name="_Toc61867856"/>
      <w:r>
        <w:rPr>
          <w:rFonts w:ascii="Verdana" w:hAnsi="Verdana"/>
          <w:sz w:val="18"/>
          <w:szCs w:val="18"/>
          <w:lang w:val="es-BO"/>
        </w:rPr>
        <w:t xml:space="preserve">SUSCRIPCIÓN DE CONTRATO </w:t>
      </w:r>
      <w:bookmarkEnd w:id="92"/>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6"/>
        </w:numPr>
        <w:tabs>
          <w:tab w:val="clear" w:pos="709"/>
        </w:tabs>
        <w:ind w:hanging="708" w:lef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6"/>
        </w:numPr>
        <w:tabs>
          <w:tab w:val="clear" w:pos="709"/>
        </w:tabs>
        <w:ind w:hanging="708" w:lef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3" w:name="_Toc61867857"/>
      <w:r>
        <w:rPr>
          <w:rFonts w:ascii="Verdana" w:hAnsi="Verdana"/>
          <w:sz w:val="18"/>
          <w:szCs w:val="18"/>
          <w:lang w:val="es-BO"/>
        </w:rPr>
        <w:t>MODIFICACIONES AL CONTRATO</w:t>
      </w:r>
      <w:bookmarkEnd w:id="93"/>
    </w:p>
    <w:p>
      <w:pPr>
        <w:pStyle w:val="Normal"/>
        <w:rPr>
          <w:rFonts w:cs="Arial"/>
          <w:b/>
          <w:szCs w:val="18"/>
          <w:lang w:val="es-BO"/>
        </w:rPr>
      </w:pPr>
      <w:r>
        <w:rPr>
          <w:rFonts w:cs="Arial"/>
          <w:b/>
          <w:szCs w:val="18"/>
          <w:lang w:val="es-BO"/>
        </w:rPr>
      </w:r>
    </w:p>
    <w:p>
      <w:pPr>
        <w:pStyle w:val="Normal"/>
        <w:ind w:left="426"/>
        <w:rPr>
          <w:szCs w:val="18"/>
          <w:lang w:val="es-BO" w:eastAsia="es-BO"/>
        </w:rPr>
      </w:pPr>
      <w:r>
        <w:rPr>
          <w:szCs w:val="18"/>
          <w:lang w:val="es-BO" w:eastAsia="es-BO"/>
        </w:rPr>
        <w:t>Las modificaciones al contrato podrán efectuarse mediante:</w:t>
      </w:r>
    </w:p>
    <w:p>
      <w:pPr>
        <w:pStyle w:val="Normal"/>
        <w:ind w:left="720"/>
        <w:rPr>
          <w:szCs w:val="18"/>
          <w:lang w:val="es-BO" w:eastAsia="es-BO"/>
        </w:rPr>
      </w:pPr>
      <w:r>
        <w:rPr>
          <w:szCs w:val="18"/>
          <w:lang w:val="es-BO" w:eastAsia="es-BO"/>
        </w:rPr>
      </w:r>
    </w:p>
    <w:p>
      <w:pPr>
        <w:pStyle w:val="Normal"/>
        <w:numPr>
          <w:ilvl w:val="1"/>
          <w:numId w:val="13"/>
        </w:numPr>
        <w:tabs>
          <w:tab w:val="clear" w:pos="709"/>
        </w:tabs>
        <w:ind w:hanging="567" w:left="1418"/>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Pr>
          <w:szCs w:val="18"/>
          <w:lang w:val="es-BO" w:eastAsia="es-BO"/>
        </w:rPr>
      </w:pPr>
      <w:r>
        <w:rPr>
          <w:szCs w:val="18"/>
          <w:lang w:val="es-BO" w:eastAsia="es-BO"/>
        </w:rPr>
      </w:r>
    </w:p>
    <w:p>
      <w:pPr>
        <w:pStyle w:val="Normal"/>
        <w:numPr>
          <w:ilvl w:val="1"/>
          <w:numId w:val="13"/>
        </w:numPr>
        <w:tabs>
          <w:tab w:val="clear" w:pos="709"/>
          <w:tab w:val="left" w:pos="1418" w:leader="none"/>
        </w:tabs>
        <w:ind w:hanging="567" w:left="1418"/>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Pr>
          <w:szCs w:val="18"/>
          <w:lang w:val="es-BO" w:eastAsia="es-BO"/>
        </w:rPr>
      </w:pPr>
      <w:r>
        <w:rPr>
          <w:szCs w:val="18"/>
          <w:lang w:val="es-BO" w:eastAsia="es-BO"/>
        </w:rPr>
      </w:r>
    </w:p>
    <w:p>
      <w:pPr>
        <w:pStyle w:val="Normal"/>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4" w:name="_Toc61867858"/>
      <w:r>
        <w:rPr>
          <w:rFonts w:ascii="Verdana" w:hAnsi="Verdana"/>
          <w:sz w:val="18"/>
          <w:szCs w:val="18"/>
          <w:lang w:val="es-BO"/>
        </w:rPr>
        <w:t>CIERRE DEL CONTRATO Y PAGO</w:t>
      </w:r>
      <w:bookmarkEnd w:id="94"/>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SAUL"/>
        <w:numPr>
          <w:ilvl w:val="1"/>
          <w:numId w:val="16"/>
        </w:numPr>
        <w:tabs>
          <w:tab w:val="clear" w:pos="709"/>
        </w:tabs>
        <w:ind w:hanging="708" w:lef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Pr>
          <w:rFonts w:cs="Arial"/>
          <w:szCs w:val="18"/>
        </w:rPr>
      </w:pPr>
      <w:r>
        <w:rPr>
          <w:rFonts w:cs="Arial"/>
          <w:szCs w:val="18"/>
        </w:rPr>
      </w:r>
    </w:p>
    <w:p>
      <w:pPr>
        <w:pStyle w:val="SAUL"/>
        <w:numPr>
          <w:ilvl w:val="0"/>
          <w:numId w:val="0"/>
        </w:numPr>
        <w:ind w:hanging="177" w:lef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6"/>
        </w:numPr>
        <w:tabs>
          <w:tab w:val="clear" w:pos="709"/>
        </w:tabs>
        <w:ind w:hanging="708" w:left="1134"/>
        <w:rPr>
          <w:szCs w:val="18"/>
          <w:lang w:val="es-BO"/>
        </w:rPr>
      </w:pPr>
      <w:bookmarkStart w:id="95" w:name="_Toc355779892"/>
      <w:bookmarkStart w:id="96"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5"/>
      <w:bookmarkEnd w:id="96"/>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left="1134"/>
        <w:rPr>
          <w:szCs w:val="18"/>
          <w:lang w:val="es-BO"/>
        </w:rPr>
      </w:pPr>
      <w:bookmarkStart w:id="97" w:name="_Toc355779893"/>
      <w:bookmarkStart w:id="98"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7"/>
      <w:bookmarkEnd w:id="98"/>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9" w:name="_Toc355779896"/>
      <w:r>
        <w:rPr>
          <w:b/>
          <w:lang w:val="es-BO"/>
        </w:rPr>
        <w:t>PARTE II</w:t>
      </w:r>
      <w:bookmarkEnd w:id="99"/>
    </w:p>
    <w:p>
      <w:pPr>
        <w:pStyle w:val="Normal"/>
        <w:jc w:val="center"/>
        <w:rPr>
          <w:b/>
          <w:lang w:val="es-BO"/>
        </w:rPr>
      </w:pPr>
      <w:bookmarkStart w:id="100" w:name="_Toc355779897"/>
      <w:bookmarkStart w:id="101" w:name="_Toc347485809"/>
      <w:r>
        <w:rPr>
          <w:b/>
          <w:lang w:val="es-BO"/>
        </w:rPr>
        <w:t>INFORMACIÓN TÉCNICA DE LA CONTRATACIÓN</w:t>
      </w:r>
      <w:bookmarkEnd w:id="100"/>
      <w:bookmarkEnd w:id="101"/>
    </w:p>
    <w:p>
      <w:pPr>
        <w:pStyle w:val="Normal"/>
        <w:ind w:left="705"/>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102" w:name="_Toc61867859"/>
      <w:r>
        <w:rPr>
          <w:rFonts w:ascii="Verdana" w:hAnsi="Verdana"/>
          <w:sz w:val="18"/>
          <w:szCs w:val="18"/>
          <w:lang w:val="es-BO"/>
        </w:rPr>
        <w:t>CONVOCATORIA Y DATOS GENERALES DEL PROCESO DE CONTRATACIÓN</w:t>
      </w:r>
      <w:bookmarkEnd w:id="102"/>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79"/>
        <w:gridCol w:w="281"/>
        <w:gridCol w:w="276"/>
        <w:gridCol w:w="275"/>
        <w:gridCol w:w="280"/>
        <w:gridCol w:w="274"/>
        <w:gridCol w:w="273"/>
        <w:gridCol w:w="273"/>
        <w:gridCol w:w="274"/>
        <w:gridCol w:w="276"/>
        <w:gridCol w:w="275"/>
        <w:gridCol w:w="274"/>
        <w:gridCol w:w="273"/>
        <w:gridCol w:w="273"/>
        <w:gridCol w:w="272"/>
        <w:gridCol w:w="274"/>
        <w:gridCol w:w="277"/>
        <w:gridCol w:w="819"/>
        <w:gridCol w:w="819"/>
        <w:gridCol w:w="266"/>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7"/>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09"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0" w:type="dxa"/>
            <w:tcBorders>
              <w:top w:val="nil"/>
              <w:bottom w:val="nil"/>
              <w:right w:val="nil"/>
            </w:tcBorders>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89" w:type="dxa"/>
            <w:gridSpan w:val="4"/>
            <w:vMerge w:val="restart"/>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ANPE GDMTR N° 11/2026</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89"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277" w:type="dxa"/>
            <w:tcBorders>
              <w:left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819" w:type="dxa"/>
            <w:tcBorders>
              <w:left w:val="nil"/>
              <w:bottom w:val="nil"/>
              <w:right w:val="nil"/>
            </w:tcBorders>
            <w:shd w:color="auto" w:fill="auto" w:val="clear"/>
          </w:tcPr>
          <w:p>
            <w:pPr>
              <w:pStyle w:val="Normal"/>
              <w:widowControl/>
              <w:suppressAutoHyphens w:val="true"/>
              <w:spacing w:before="0" w:after="0"/>
              <w:jc w:val="right"/>
              <w:rPr>
                <w:rFonts w:ascii="Arial" w:hAnsi="Arial" w:cs="Arial"/>
                <w:sz w:val="8"/>
                <w:highlight w:val="none"/>
                <w:shd w:fill="auto" w:val="clear"/>
                <w:lang w:val="es-BO"/>
              </w:rPr>
            </w:pPr>
            <w:r>
              <w:rPr>
                <w:rFonts w:cs="Arial" w:ascii="Arial" w:hAnsi="Arial"/>
                <w:sz w:val="8"/>
                <w:shd w:fill="auto" w:val="clear"/>
                <w:lang w:val="es-BO"/>
              </w:rPr>
            </w:r>
          </w:p>
        </w:tc>
        <w:tc>
          <w:tcPr>
            <w:tcW w:w="819" w:type="dxa"/>
            <w:tcBorders>
              <w:left w:val="nil"/>
              <w:bottom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8"/>
        <w:gridCol w:w="303"/>
        <w:gridCol w:w="280"/>
        <w:gridCol w:w="305"/>
        <w:gridCol w:w="308"/>
        <w:gridCol w:w="305"/>
        <w:gridCol w:w="304"/>
        <w:gridCol w:w="276"/>
        <w:gridCol w:w="303"/>
        <w:gridCol w:w="308"/>
        <w:gridCol w:w="273"/>
        <w:gridCol w:w="267"/>
        <w:gridCol w:w="268"/>
        <w:gridCol w:w="268"/>
        <w:gridCol w:w="266"/>
        <w:gridCol w:w="265"/>
        <w:gridCol w:w="267"/>
        <w:gridCol w:w="267"/>
        <w:gridCol w:w="273"/>
        <w:gridCol w:w="308"/>
        <w:gridCol w:w="273"/>
        <w:gridCol w:w="305"/>
        <w:gridCol w:w="812"/>
        <w:gridCol w:w="794"/>
        <w:gridCol w:w="258"/>
      </w:tblGrid>
      <w:tr>
        <w:trPr/>
        <w:tc>
          <w:tcPr>
            <w:tcW w:w="217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3"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3"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6</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2</w:t>
            </w:r>
          </w:p>
        </w:tc>
        <w:tc>
          <w:tcPr>
            <w:tcW w:w="26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2</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6</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7</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4" w:type="dxa"/>
            <w:tcBorders>
              <w:lef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5"/>
        <w:gridCol w:w="272"/>
        <w:gridCol w:w="275"/>
        <w:gridCol w:w="274"/>
        <w:gridCol w:w="283"/>
        <w:gridCol w:w="276"/>
        <w:gridCol w:w="275"/>
        <w:gridCol w:w="276"/>
        <w:gridCol w:w="274"/>
        <w:gridCol w:w="274"/>
        <w:gridCol w:w="271"/>
        <w:gridCol w:w="273"/>
        <w:gridCol w:w="273"/>
        <w:gridCol w:w="272"/>
        <w:gridCol w:w="273"/>
        <w:gridCol w:w="272"/>
        <w:gridCol w:w="274"/>
        <w:gridCol w:w="275"/>
        <w:gridCol w:w="273"/>
        <w:gridCol w:w="273"/>
        <w:gridCol w:w="272"/>
        <w:gridCol w:w="271"/>
        <w:gridCol w:w="272"/>
        <w:gridCol w:w="272"/>
        <w:gridCol w:w="272"/>
        <w:gridCol w:w="273"/>
        <w:gridCol w:w="265"/>
      </w:tblGrid>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0" w:type="dxa"/>
            <w:gridSpan w:val="28"/>
            <w:tcBorders/>
            <w:shd w:color="auto" w:fill="DBE5F1" w:themeFill="accent1" w:themeFillTint="33" w:val="clear"/>
          </w:tcPr>
          <w:p>
            <w:pPr>
              <w:pStyle w:val="Normal"/>
              <w:widowControl/>
              <w:tabs>
                <w:tab w:val="clear" w:pos="709"/>
                <w:tab w:val="left" w:pos="1634" w:leader="none"/>
              </w:tabs>
              <w:suppressAutoHyphens w:val="true"/>
              <w:spacing w:before="0" w:after="0"/>
              <w:rPr>
                <w:highlight w:val="none"/>
                <w:shd w:fill="auto" w:val="clear"/>
              </w:rPr>
            </w:pPr>
            <w:r>
              <w:rPr>
                <w:rFonts w:eastAsia="Times New Roman" w:cs="Arial" w:ascii="Arial" w:hAnsi="Arial"/>
                <w:b/>
                <w:kern w:val="0"/>
                <w:szCs w:val="18"/>
                <w:shd w:fill="auto" w:val="clear"/>
                <w:lang w:val="es-BO" w:bidi="ar-SA"/>
              </w:rPr>
              <w:t>CONTRATACIÓN DE DOS (2) CONSULTORES INDIVIDUALES DE LINEA CONSULTOR J PARA EL PROYECTO “EMISIÓN DE ACTOS ADMINISTRATIVOS DEFINITIVOS Y ACTUADOS DE PROCEDIMIENTO – TJ” GERENCIA DISTRITAL MONTERO – GESTIÓN 2026.</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20"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1" w:type="dxa"/>
            <w:gridSpan w:val="10"/>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0" w:type="dxa"/>
            <w:gridSpan w:val="8"/>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6" w:type="dxa"/>
            <w:gridSpan w:val="9"/>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7" w:type="dxa"/>
            <w:gridSpan w:val="19"/>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TOTAL: Bs146.360.- (Ciento Cuarenta y Seis Mil Trecientos Sesenta 00/100 Bolivianos)</w:t>
            </w:r>
          </w:p>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 xml:space="preserve">Mensual: Bs7.318.- (Siete mil trecientos dieciocho 00/100 Bolivianos) </w:t>
            </w:r>
            <w:r>
              <w:rPr>
                <w:rFonts w:eastAsia="Times New Roman" w:cs="Arial" w:ascii="Arial" w:hAnsi="Arial"/>
                <w:b/>
                <w:i/>
                <w:kern w:val="0"/>
                <w:sz w:val="16"/>
                <w:shd w:fill="auto" w:val="clear"/>
                <w:lang w:bidi="ar-SA"/>
              </w:rPr>
              <w:t>cada uno</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kern w:val="0"/>
                <w:sz w:val="16"/>
                <w:shd w:fill="auto" w:val="clear"/>
                <w:lang w:val="es-BO" w:bidi="ar-SA"/>
              </w:rPr>
              <w:t>Contrato</w:t>
            </w:r>
          </w:p>
        </w:tc>
        <w:tc>
          <w:tcPr>
            <w:tcW w:w="4387" w:type="dxa"/>
            <w:gridSpan w:val="16"/>
            <w:tcBorders>
              <w:top w:val="nil"/>
              <w:bottom w:val="nil"/>
              <w:right w:val="nil"/>
            </w:tcBorders>
            <w:vAlign w:val="center"/>
          </w:tcPr>
          <w:p>
            <w:pPr>
              <w:pStyle w:val="Normal"/>
              <w:widowControl/>
              <w:suppressAutoHyphens w:val="true"/>
              <w:spacing w:before="0" w:after="0"/>
              <w:rPr>
                <w:rFonts w:ascii="Arial" w:hAnsi="Arial" w:cs="Arial"/>
                <w:sz w:val="16"/>
                <w:szCs w:val="2"/>
                <w:highlight w:val="none"/>
                <w:shd w:fill="auto" w:val="clear"/>
                <w:lang w:val="es-BO"/>
              </w:rPr>
            </w:pPr>
            <w:r>
              <w:rPr>
                <w:rFonts w:cs="Arial" w:ascii="Arial" w:hAnsi="Arial"/>
                <w:sz w:val="16"/>
                <w:szCs w:val="2"/>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val="es-BO" w:bidi="ar-SA"/>
              </w:rPr>
              <w:t>A PARTIR DEL DÍA SIGUIENTE HÁBIL DE LA SUSCRIPCIÓN DE CONTRATO HASTA EL 31 DE DICIEMBRE DE 2026.</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30"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5"/>
        <w:gridCol w:w="275"/>
        <w:gridCol w:w="277"/>
        <w:gridCol w:w="278"/>
        <w:gridCol w:w="278"/>
        <w:gridCol w:w="280"/>
        <w:gridCol w:w="275"/>
        <w:gridCol w:w="274"/>
        <w:gridCol w:w="279"/>
        <w:gridCol w:w="272"/>
        <w:gridCol w:w="272"/>
        <w:gridCol w:w="272"/>
        <w:gridCol w:w="271"/>
        <w:gridCol w:w="272"/>
        <w:gridCol w:w="272"/>
        <w:gridCol w:w="272"/>
        <w:gridCol w:w="273"/>
        <w:gridCol w:w="274"/>
        <w:gridCol w:w="272"/>
        <w:gridCol w:w="272"/>
        <w:gridCol w:w="272"/>
        <w:gridCol w:w="272"/>
        <w:gridCol w:w="271"/>
        <w:gridCol w:w="272"/>
        <w:gridCol w:w="272"/>
        <w:gridCol w:w="272"/>
        <w:gridCol w:w="273"/>
        <w:gridCol w:w="265"/>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399" w:type="dxa"/>
            <w:gridSpan w:val="27"/>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restart"/>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continue"/>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2"/>
        <w:gridCol w:w="278"/>
        <w:gridCol w:w="274"/>
        <w:gridCol w:w="275"/>
        <w:gridCol w:w="57"/>
        <w:gridCol w:w="216"/>
        <w:gridCol w:w="276"/>
        <w:gridCol w:w="280"/>
        <w:gridCol w:w="280"/>
        <w:gridCol w:w="281"/>
        <w:gridCol w:w="283"/>
        <w:gridCol w:w="271"/>
        <w:gridCol w:w="277"/>
        <w:gridCol w:w="279"/>
        <w:gridCol w:w="281"/>
        <w:gridCol w:w="276"/>
        <w:gridCol w:w="275"/>
        <w:gridCol w:w="280"/>
        <w:gridCol w:w="274"/>
        <w:gridCol w:w="273"/>
        <w:gridCol w:w="273"/>
        <w:gridCol w:w="274"/>
        <w:gridCol w:w="276"/>
        <w:gridCol w:w="275"/>
        <w:gridCol w:w="274"/>
        <w:gridCol w:w="116"/>
        <w:gridCol w:w="157"/>
        <w:gridCol w:w="273"/>
        <w:gridCol w:w="272"/>
        <w:gridCol w:w="274"/>
        <w:gridCol w:w="277"/>
        <w:gridCol w:w="273"/>
        <w:gridCol w:w="273"/>
        <w:gridCol w:w="127"/>
        <w:gridCol w:w="146"/>
        <w:gridCol w:w="272"/>
        <w:gridCol w:w="273"/>
        <w:gridCol w:w="274"/>
        <w:gridCol w:w="266"/>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0" w:type="dxa"/>
            <w:gridSpan w:val="20"/>
            <w:vMerge w:val="restart"/>
            <w:tcBorders>
              <w:top w:val="nil"/>
              <w:left w:val="nil"/>
              <w:bottom w:val="nil"/>
              <w:right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4" w:type="dxa"/>
            <w:vMerge w:val="restart"/>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restart"/>
            <w:tcBorders>
              <w:top w:val="nil"/>
              <w:left w:val="nil"/>
              <w:bottom w:val="nil"/>
              <w:right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40" w:type="dxa"/>
            <w:gridSpan w:val="20"/>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4" w:type="dxa"/>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0"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0"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58" w:type="dxa"/>
            <w:gridSpan w:val="35"/>
            <w:tcBorders>
              <w:top w:val="nil"/>
              <w:left w:val="single" w:sz="12" w:space="0" w:color="244061"/>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7"/>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lef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18"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5"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8:00 A 18:30</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38" w:type="dxa"/>
            <w:gridSpan w:val="11"/>
            <w:tcBorders>
              <w:top w:val="nil"/>
              <w:left w:val="nil"/>
              <w:right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8" w:type="dxa"/>
            <w:gridSpan w:val="7"/>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8" w:type="dxa"/>
            <w:gridSpan w:val="11"/>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Walter Yelma Vicente</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Roxana Burgos Gonzales</w:t>
            </w:r>
          </w:p>
        </w:tc>
        <w:tc>
          <w:tcPr>
            <w:tcW w:w="275"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366" w:type="dxa"/>
            <w:gridSpan w:val="6"/>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Profesional J</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Supervisor XII</w:t>
            </w:r>
          </w:p>
        </w:tc>
        <w:tc>
          <w:tcPr>
            <w:tcW w:w="277"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38" w:type="dxa"/>
            <w:gridSpan w:val="7"/>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GDMTR</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w:t>
            </w:r>
            <w:r>
              <w:rPr>
                <w:rFonts w:eastAsia="Times New Roman" w:cs="Arial" w:ascii="Arial" w:hAnsi="Arial"/>
                <w:kern w:val="0"/>
                <w:sz w:val="16"/>
                <w:shd w:fill="auto" w:val="clear"/>
                <w:lang w:val="es-BO" w:bidi="ar-SA"/>
              </w:rPr>
              <w:t>DMTR</w:t>
            </w:r>
          </w:p>
        </w:tc>
        <w:tc>
          <w:tcPr>
            <w:tcW w:w="266"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9220722</w:t>
            </w:r>
          </w:p>
        </w:tc>
        <w:tc>
          <w:tcPr>
            <w:tcW w:w="281" w:type="dxa"/>
            <w:tcBorders>
              <w:top w:val="nil"/>
              <w:bottom w:val="nil"/>
              <w:right w:val="nil"/>
            </w:tcBorders>
            <w:vAlign w:val="cente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554" w:type="dxa"/>
            <w:gridSpan w:val="2"/>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Fax</w:t>
            </w:r>
          </w:p>
        </w:tc>
        <w:tc>
          <w:tcPr>
            <w:tcW w:w="1113" w:type="dxa"/>
            <w:gridSpan w:val="4"/>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50" w:type="dxa"/>
            <w:gridSpan w:val="6"/>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Times New Roman"/>
                <w:kern w:val="0"/>
                <w:sz w:val="14"/>
                <w:u w:val="single"/>
                <w:shd w:fill="auto" w:val="clear"/>
                <w:lang w:bidi="ar-SA"/>
              </w:rPr>
              <w:t>walter.yelma@impuestos.gob.bo</w:t>
            </w:r>
          </w:p>
          <w:p>
            <w:pPr>
              <w:pStyle w:val="Normal"/>
              <w:widowControl/>
              <w:suppressAutoHyphens w:val="true"/>
              <w:spacing w:before="0" w:after="0"/>
              <w:rPr>
                <w:highlight w:val="none"/>
                <w:shd w:fill="auto" w:val="clear"/>
              </w:rPr>
            </w:pPr>
            <w:r>
              <w:rPr>
                <w:rFonts w:eastAsia="Times New Roman" w:cs="Arial" w:ascii="Arial" w:hAnsi="Arial"/>
                <w:kern w:val="0"/>
                <w:sz w:val="14"/>
                <w:szCs w:val="14"/>
                <w:u w:val="single"/>
                <w:shd w:fill="auto" w:val="clear"/>
                <w:lang w:bidi="ar-SA"/>
              </w:rPr>
              <w:t>roxana.burgos@impuestos.gob.bo</w:t>
            </w:r>
          </w:p>
        </w:tc>
        <w:tc>
          <w:tcPr>
            <w:tcW w:w="274" w:type="dxa"/>
            <w:tcBorders>
              <w:top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4"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2" w:type="dxa"/>
            <w:tcBorders>
              <w:top w:val="nil"/>
              <w:left w:val="single" w:sz="12" w:space="0" w:color="244061"/>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8"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single" w:sz="12" w:space="0" w:color="244061"/>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0" w:type="dxa"/>
        <w:jc w:val="left"/>
        <w:tblInd w:w="-14" w:type="dxa"/>
        <w:tblLayout w:type="fixed"/>
        <w:tblCellMar>
          <w:top w:w="0" w:type="dxa"/>
          <w:left w:w="70" w:type="dxa"/>
          <w:bottom w:w="0" w:type="dxa"/>
          <w:right w:w="70" w:type="dxa"/>
        </w:tblCellMar>
        <w:tblLook w:val="04a0" w:noHBand="0" w:noVBand="1" w:firstColumn="1" w:lastRow="0" w:lastColumn="0" w:firstRow="1"/>
      </w:tblPr>
      <w:tblGrid>
        <w:gridCol w:w="439"/>
        <w:gridCol w:w="3532"/>
        <w:gridCol w:w="134"/>
        <w:gridCol w:w="134"/>
        <w:gridCol w:w="384"/>
        <w:gridCol w:w="134"/>
        <w:gridCol w:w="390"/>
        <w:gridCol w:w="134"/>
        <w:gridCol w:w="569"/>
        <w:gridCol w:w="90"/>
        <w:gridCol w:w="134"/>
        <w:gridCol w:w="476"/>
        <w:gridCol w:w="252"/>
        <w:gridCol w:w="458"/>
        <w:gridCol w:w="135"/>
        <w:gridCol w:w="141"/>
        <w:gridCol w:w="2189"/>
        <w:gridCol w:w="192"/>
      </w:tblGrid>
      <w:tr>
        <w:trPr>
          <w:trHeight w:val="464" w:hRule="atLeast"/>
        </w:trPr>
        <w:tc>
          <w:tcPr>
            <w:tcW w:w="9917"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17"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rPr>
                <w:lang w:val="es-BO"/>
              </w:rPr>
            </w:pPr>
            <w:r>
              <w:rPr>
                <w:lang w:val="es-BO"/>
              </w:rPr>
              <w:t>De acuerdo con lo establecido en el Artículo 47 de las NB-SABS, los siguientes plazos son de cumplimiento obligatorio:</w:t>
            </w:r>
          </w:p>
          <w:p>
            <w:pPr>
              <w:pStyle w:val="Normal"/>
              <w:ind w:left="510" w:right="113"/>
              <w:rPr>
                <w:lang w:val="es-BO"/>
              </w:rPr>
            </w:pPr>
            <w:r>
              <w:rPr>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rPr>
                <w:lang w:val="es-BO"/>
              </w:rPr>
            </w:pPr>
            <w:r>
              <w:rPr>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rPr>
                <w:rFonts w:ascii="Verdana" w:hAnsi="Verdana"/>
                <w:sz w:val="16"/>
                <w:szCs w:val="16"/>
                <w:lang w:val="es-BO"/>
              </w:rPr>
            </w:pPr>
            <w:r>
              <w:rPr>
                <w:rFonts w:ascii="Verdana" w:hAnsi="Verdana"/>
                <w:sz w:val="16"/>
                <w:szCs w:val="16"/>
                <w:lang w:val="es-BO"/>
              </w:rPr>
            </w:r>
          </w:p>
          <w:p>
            <w:pPr>
              <w:pStyle w:val="Normal"/>
              <w:ind w:right="113"/>
              <w:rPr>
                <w:lang w:val="es-BO"/>
              </w:rPr>
            </w:pPr>
            <w:r>
              <w:rPr>
                <w:b/>
                <w:lang w:val="es-BO"/>
              </w:rPr>
              <w:t>El incumplimiento a los plazos señalados será considerado como inobservancia a la normativa.</w:t>
            </w:r>
          </w:p>
        </w:tc>
      </w:tr>
      <w:tr>
        <w:trPr>
          <w:trHeight w:val="405" w:hRule="atLeast"/>
        </w:trPr>
        <w:tc>
          <w:tcPr>
            <w:tcW w:w="9917"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835"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55"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2"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rPr>
                <w:rFonts w:ascii="Arial" w:hAnsi="Arial" w:cs="Arial"/>
                <w:lang w:val="es-BO"/>
              </w:rPr>
            </w:pPr>
            <w:r>
              <w:rPr>
                <w:rFonts w:cs="Arial" w:ascii="Arial" w:hAnsi="Arial"/>
                <w:lang w:val="es-BO"/>
              </w:rPr>
            </w:r>
          </w:p>
          <w:p>
            <w:pPr>
              <w:pStyle w:val="Normal"/>
              <w:snapToGrid w:val="false"/>
              <w:ind w:left="113" w:right="113"/>
              <w:rPr>
                <w:rFonts w:ascii="Arial" w:hAnsi="Arial" w:cs="Arial"/>
                <w:lang w:val="es-BO"/>
              </w:rPr>
            </w:pPr>
            <w:r>
              <w:rPr>
                <w:rFonts w:cs="Arial" w:ascii="Arial" w:hAnsi="Arial"/>
                <w:lang w:val="es-BO"/>
              </w:rPr>
              <w:t>Fecha límite de Presentación</w:t>
            </w:r>
          </w:p>
          <w:p>
            <w:pPr>
              <w:pStyle w:val="Normal"/>
              <w:snapToGrid w:val="false"/>
              <w:ind w:left="113" w:right="113"/>
              <w:rPr>
                <w:rFonts w:ascii="Arial" w:hAnsi="Arial" w:cs="Arial"/>
                <w:lang w:val="es-BO"/>
              </w:rPr>
            </w:pPr>
            <w:r>
              <w:rPr>
                <w:rFonts w:cs="Arial" w:ascii="Arial" w:hAnsi="Arial"/>
                <w:lang w:val="es-BO"/>
              </w:rPr>
            </w:r>
          </w:p>
          <w:p>
            <w:pPr>
              <w:pStyle w:val="Normal"/>
              <w:snapToGrid w:val="false"/>
              <w:ind w:right="113"/>
              <w:rPr>
                <w:rFonts w:ascii="Arial" w:hAnsi="Arial" w:cs="Arial"/>
                <w:lang w:val="es-BO"/>
              </w:rPr>
            </w:pPr>
            <w:r>
              <w:rPr>
                <w:rFonts w:cs="Arial" w:ascii="Arial" w:hAnsi="Arial"/>
                <w:lang w:val="es-BO"/>
              </w:rPr>
            </w:r>
          </w:p>
          <w:p>
            <w:pPr>
              <w:pStyle w:val="Normal"/>
              <w:snapToGrid w:val="false"/>
              <w:ind w:right="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25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A TRAVÉS DEL RUPE DEL PROPONENTE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  o a través del enlace</w:t>
            </w:r>
          </w:p>
          <w:p>
            <w:pPr>
              <w:pStyle w:val="Normal"/>
              <w:snapToGrid w:val="false"/>
              <w:jc w:val="center"/>
              <w:rPr>
                <w:highlight w:val="none"/>
                <w:shd w:fill="auto" w:val="clear"/>
              </w:rPr>
            </w:pPr>
            <w:r>
              <w:rPr>
                <w:rFonts w:cs="Arial" w:ascii="Arial" w:hAnsi="Arial"/>
                <w:color w:val="0000FF"/>
                <w:u w:val="single"/>
                <w:shd w:fill="auto" w:val="clear"/>
              </w:rPr>
              <w:t>https://sinbolivia.webex.com/meet/gdmtr.sac</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6"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7</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90"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continue"/>
            <w:tcBorders>
              <w:top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0"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8</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0"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0"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hanging="705" w:left="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rPr>
          <w:rFonts w:ascii="Tahoma" w:hAnsi="Tahoma" w:eastAsia="MS Mincho" w:cs="Tahoma"/>
          <w:sz w:val="20"/>
          <w:szCs w:val="24"/>
          <w:lang w:val="es-BO"/>
        </w:rPr>
      </w:pPr>
      <w:r>
        <w:rPr>
          <w:rFonts w:eastAsia="MS Mincho" w:cs="Tahoma" w:ascii="Tahoma" w:hAnsi="Tahoma"/>
          <w:sz w:val="20"/>
          <w:szCs w:val="24"/>
          <w:lang w:val="es-BO"/>
        </w:rPr>
      </w:r>
    </w:p>
    <w:p>
      <w:pPr>
        <w:pStyle w:val="Sinespaciado1"/>
        <w:jc w:val="center"/>
        <w:rPr>
          <w:rFonts w:ascii="Tahoma" w:hAnsi="Tahoma" w:cs="Tahoma"/>
          <w:b/>
          <w:sz w:val="20"/>
          <w:szCs w:val="20"/>
          <w:shd w:fill="auto" w:val="clear"/>
        </w:rPr>
      </w:pPr>
      <w:r>
        <w:rPr>
          <w:rFonts w:cs="Tahoma" w:ascii="Tahoma" w:hAnsi="Tahoma"/>
          <w:b/>
          <w:sz w:val="20"/>
          <w:szCs w:val="20"/>
          <w:shd w:fill="auto" w:val="clear"/>
        </w:rPr>
        <w:t>TÉRMINOS DE REFERENCIA</w:t>
      </w:r>
    </w:p>
    <w:p>
      <w:pPr>
        <w:pStyle w:val="Normal"/>
        <w:bidi w:val="0"/>
        <w:jc w:val="center"/>
        <w:rPr>
          <w:rFonts w:ascii="Tahoma" w:hAnsi="Tahoma" w:eastAsia="Tahoma"/>
          <w:b/>
          <w:bCs/>
          <w:i w:val="false"/>
          <w:i w:val="false"/>
          <w:strike w:val="false"/>
          <w:dstrike w:val="false"/>
          <w:outline w:val="false"/>
          <w:shadow w:val="false"/>
          <w:color w:val="000000"/>
          <w:sz w:val="20"/>
          <w:szCs w:val="20"/>
          <w:u w:val="none"/>
          <w:shd w:fill="auto" w:val="clear"/>
          <w:em w:val="none"/>
        </w:rPr>
      </w:pPr>
      <w:r>
        <w:rPr>
          <w:rFonts w:eastAsia="Tahoma" w:ascii="Tahoma" w:hAnsi="Tahoma"/>
          <w:b/>
          <w:bCs/>
          <w:i w:val="false"/>
          <w:strike w:val="false"/>
          <w:dstrike w:val="false"/>
          <w:outline w:val="false"/>
          <w:shadow w:val="false"/>
          <w:color w:val="000000"/>
          <w:sz w:val="20"/>
          <w:szCs w:val="20"/>
          <w:u w:val="none"/>
          <w:shd w:fill="auto" w:val="clear"/>
          <w:em w:val="none"/>
        </w:rPr>
        <w:t>CONTRATACIÓN DE DOS (2) CONSULTORES INDIVIDUALES DE LÍNEA CONSULTOR J PARA EL PROYECTO "EMISIÓN DE ACTOS ADMINISTRATIVOS DEFINITIVOS Y ACTUADOS DE PROCEDIMIENTO – TJ”, GERENCIA DISTRITAL MONTERO - GESTIÓN 2026.</w:t>
      </w:r>
    </w:p>
    <w:p>
      <w:pPr>
        <w:pStyle w:val="Normal"/>
        <w:jc w:val="center"/>
        <w:rPr>
          <w:rFonts w:ascii="Tahoma" w:hAnsi="Tahoma" w:cs="Tahoma"/>
          <w:b/>
          <w:color w:val="000000"/>
          <w:sz w:val="18"/>
          <w:szCs w:val="18"/>
          <w:shd w:fill="FFFF00" w:val="clear"/>
          <w:lang w:val="es-MX" w:eastAsia="es-MX"/>
        </w:rPr>
      </w:pPr>
      <w:r>
        <w:rPr>
          <w:rFonts w:cs="Tahoma" w:ascii="Tahoma" w:hAnsi="Tahoma"/>
          <w:b/>
          <w:color w:val="000000"/>
          <w:sz w:val="18"/>
          <w:szCs w:val="18"/>
          <w:shd w:fill="FFFF00" w:val="clear"/>
          <w:lang w:val="es-MX" w:eastAsia="es-MX"/>
        </w:rPr>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lang w:val="es-BO"/>
        </w:rPr>
      </w:pPr>
      <w:r>
        <w:rPr>
          <w:rFonts w:cs="Tahoma"/>
          <w:sz w:val="20"/>
          <w:szCs w:val="20"/>
          <w:lang w:val="es-BO"/>
        </w:rPr>
        <w:t>ANTECEDENTES</w:t>
      </w:r>
    </w:p>
    <w:p>
      <w:pPr>
        <w:pStyle w:val="Normal"/>
        <w:spacing w:lineRule="auto" w:line="240" w:before="0" w:after="0"/>
        <w:ind w:hanging="0" w:left="284" w:right="-2"/>
        <w:jc w:val="both"/>
        <w:rPr>
          <w:rFonts w:ascii="Tahoma" w:hAnsi="Tahoma" w:cs="Tahoma"/>
          <w:sz w:val="20"/>
          <w:szCs w:val="20"/>
        </w:rPr>
      </w:pPr>
      <w:r>
        <w:rPr>
          <w:rFonts w:cs="Tahoma" w:ascii="Tahoma" w:hAnsi="Tahoma"/>
          <w:sz w:val="20"/>
          <w:szCs w:val="20"/>
        </w:rPr>
        <w:t>De conformidad con lo establecido en el Artículo 66 de la Ley N° 2492 Código Tributario, la Administración Tributaria tiene la facultad de ejercer funciones de control, comprobación, verificación, determinación de obligaciones tributarias, recaudación y concesión de facilidades de pago, entre otras competencias asignadas legalmente. Estas funciones se materializan, en parte, a través de la emisión de actos administrativos definitivos, los cuales constituyen decisiones de carácter jurídico dictadas por la autoridad competente.</w:t>
      </w:r>
    </w:p>
    <w:p>
      <w:pPr>
        <w:pStyle w:val="Normal"/>
        <w:spacing w:lineRule="auto" w:line="240" w:before="0" w:after="0"/>
        <w:ind w:hanging="0" w:left="284" w:right="-2"/>
        <w:jc w:val="both"/>
        <w:rPr>
          <w:rFonts w:ascii="Tahoma" w:hAnsi="Tahoma" w:cs="Tahoma"/>
          <w:sz w:val="20"/>
          <w:szCs w:val="20"/>
        </w:rPr>
      </w:pPr>
      <w:r>
        <w:rPr>
          <w:rFonts w:cs="Tahoma" w:ascii="Tahoma" w:hAnsi="Tahoma"/>
          <w:sz w:val="20"/>
          <w:szCs w:val="20"/>
        </w:rPr>
      </w:r>
    </w:p>
    <w:p>
      <w:pPr>
        <w:pStyle w:val="Normal"/>
        <w:spacing w:lineRule="auto" w:line="240" w:before="0" w:after="0"/>
        <w:ind w:hanging="0" w:left="284" w:right="-2"/>
        <w:jc w:val="both"/>
        <w:rPr>
          <w:rFonts w:ascii="Tahoma" w:hAnsi="Tahoma" w:cs="Tahoma"/>
          <w:sz w:val="20"/>
          <w:szCs w:val="20"/>
        </w:rPr>
      </w:pPr>
      <w:r>
        <w:rPr>
          <w:rFonts w:cs="Tahoma" w:ascii="Tahoma" w:hAnsi="Tahoma"/>
          <w:sz w:val="20"/>
          <w:szCs w:val="20"/>
        </w:rPr>
        <w:t>En este marco, los actos administrativos definitivos de carácter particular tienen un impacto directo en el ejercicio de las facultades tributarias, pues son instrumentos indispensables para garantizar la correcta determinación y recaudación de tributos, así como para sancionar incumplimientos tributarios. Su emisión exige el cumplimiento de plazos y requisitos establecidos en la normativa vigente, así como la capacidad operativa adecuada para responder a la demanda de procesos tributarios que surgen en los diferentes departamentos y unidades organizacionales, como el Departamento de Recaudación y Empadronamiento, Departamento de Fiscalización y el propio Departamento Jurídico y las Unidades de Cobranza Coactiva de las Gerencias Distritales y GRACO.</w:t>
      </w:r>
    </w:p>
    <w:p>
      <w:pPr>
        <w:pStyle w:val="Standard1"/>
        <w:tabs>
          <w:tab w:val="clear" w:pos="709"/>
          <w:tab w:val="left" w:pos="899" w:leader="none"/>
        </w:tabs>
        <w:ind w:hanging="0" w:left="284" w:right="-57"/>
        <w:jc w:val="both"/>
        <w:rPr>
          <w:rFonts w:ascii="Tahoma" w:hAnsi="Tahoma" w:cs="Tahoma"/>
          <w:sz w:val="20"/>
          <w:szCs w:val="20"/>
        </w:rPr>
      </w:pPr>
      <w:r>
        <w:rPr>
          <w:rFonts w:cs="Tahoma" w:ascii="Tahoma" w:hAnsi="Tahoma"/>
          <w:sz w:val="20"/>
          <w:szCs w:val="20"/>
        </w:rPr>
      </w:r>
    </w:p>
    <w:p>
      <w:pPr>
        <w:pStyle w:val="Normal"/>
        <w:tabs>
          <w:tab w:val="clear" w:pos="709"/>
          <w:tab w:val="left" w:pos="899" w:leader="none"/>
        </w:tabs>
        <w:spacing w:lineRule="auto" w:line="240" w:before="0" w:after="0"/>
        <w:ind w:hanging="0" w:left="284" w:right="-2"/>
        <w:jc w:val="both"/>
        <w:rPr>
          <w:rFonts w:ascii="Tahoma" w:hAnsi="Tahoma" w:cs="Tahoma"/>
          <w:sz w:val="20"/>
          <w:szCs w:val="20"/>
        </w:rPr>
      </w:pPr>
      <w:r>
        <w:rPr>
          <w:rFonts w:cs="Tahoma" w:ascii="Tahoma" w:hAnsi="Tahoma"/>
          <w:sz w:val="20"/>
          <w:szCs w:val="20"/>
        </w:rPr>
        <w:t>Ante el incremento de los trámites derivados de proyectos de fiscalización y cobro coactivo, es necesario fortalecer la capacidad operativa de las áreas encargadas de emitir Resoluciones Determinativas, Sancionatorias y Administrativas. Este fortalecimiento permitirá cumplir con las metas asignadas en el POA 2026, garantizando que la Administración Tributaria actúe de manera eficiente y conforme a los principios legales que rigen su actuación.</w:t>
      </w:r>
    </w:p>
    <w:p>
      <w:pPr>
        <w:pStyle w:val="Standard1"/>
        <w:tabs>
          <w:tab w:val="clear" w:pos="709"/>
          <w:tab w:val="left" w:pos="899" w:leader="none"/>
        </w:tabs>
        <w:ind w:hanging="0" w:left="284" w:right="-57"/>
        <w:jc w:val="both"/>
        <w:rPr>
          <w:rFonts w:ascii="Tahoma" w:hAnsi="Tahoma" w:cs="Tahoma"/>
          <w:sz w:val="20"/>
          <w:szCs w:val="20"/>
        </w:rPr>
      </w:pPr>
      <w:r>
        <w:rPr>
          <w:rFonts w:cs="Tahoma" w:ascii="Tahoma" w:hAnsi="Tahoma"/>
          <w:sz w:val="20"/>
          <w:szCs w:val="20"/>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JUSTIFICACIÓN DE LA CONTRATACIÓN</w:t>
      </w:r>
    </w:p>
    <w:p>
      <w:pPr>
        <w:pStyle w:val="Normal"/>
        <w:ind w:hanging="0" w:left="284" w:right="284"/>
        <w:jc w:val="both"/>
        <w:rPr>
          <w:rFonts w:ascii="Tahoma" w:hAnsi="Tahoma" w:cs="Tahoma"/>
          <w:sz w:val="20"/>
          <w:szCs w:val="20"/>
        </w:rPr>
      </w:pPr>
      <w:r>
        <w:rPr>
          <w:rFonts w:cs="Tahoma" w:ascii="Tahoma" w:hAnsi="Tahoma"/>
          <w:sz w:val="20"/>
          <w:szCs w:val="20"/>
        </w:rPr>
      </w:r>
    </w:p>
    <w:p>
      <w:pPr>
        <w:pStyle w:val="Normal"/>
        <w:widowControl/>
        <w:tabs>
          <w:tab w:val="clear" w:pos="709"/>
          <w:tab w:val="left" w:pos="899" w:leader="none"/>
        </w:tabs>
        <w:suppressAutoHyphens w:val="true"/>
        <w:bidi w:val="0"/>
        <w:spacing w:lineRule="auto" w:line="240" w:before="0" w:after="0"/>
        <w:ind w:hanging="0" w:left="283" w:right="0"/>
        <w:jc w:val="both"/>
        <w:rPr>
          <w:rFonts w:ascii="Tahoma" w:hAnsi="Tahoma" w:eastAsia="Times New Roman" w:cs="Tahoma"/>
          <w:color w:val="000000"/>
          <w:sz w:val="20"/>
          <w:szCs w:val="20"/>
          <w:lang w:eastAsia="es-ES"/>
        </w:rPr>
      </w:pPr>
      <w:r>
        <w:rPr>
          <w:rFonts w:eastAsia="Times New Roman" w:cs="Tahoma" w:ascii="Tahoma" w:hAnsi="Tahoma"/>
          <w:color w:val="000000"/>
          <w:sz w:val="20"/>
          <w:szCs w:val="20"/>
          <w:lang w:eastAsia="es-ES"/>
        </w:rPr>
        <w:t>El presente proyecto se fundamenta en la necesidad de optimizar la emisión de actos administrativos definitivos dentro del marco normativo establecido, frente a los desafíos operativos actuales. Las Gerencias Distritales y GRACO enfrentan limitaciones significativas debido a la insuficiencia de personal técnico de planta, lo cual impacta directamente en el cumplimiento de los plazos legales y en la calidad de los actos emitidos. Esta situación compromete la efectividad de los procesos de control y recaudación tributaria, así como la capacidad de dar respuesta oportuna a los contribuyentes.</w:t>
      </w:r>
    </w:p>
    <w:p>
      <w:pPr>
        <w:pStyle w:val="Normal"/>
        <w:widowControl/>
        <w:tabs>
          <w:tab w:val="clear" w:pos="709"/>
          <w:tab w:val="left" w:pos="899" w:leader="none"/>
        </w:tabs>
        <w:suppressAutoHyphens w:val="true"/>
        <w:bidi w:val="0"/>
        <w:spacing w:lineRule="auto" w:line="240" w:before="0" w:after="0"/>
        <w:ind w:hanging="0" w:left="283" w:right="0"/>
        <w:jc w:val="both"/>
        <w:rPr>
          <w:rFonts w:ascii="Tahoma" w:hAnsi="Tahoma" w:eastAsia="Times New Roman" w:cs="Tahoma"/>
          <w:color w:val="000000"/>
          <w:sz w:val="18"/>
          <w:szCs w:val="18"/>
          <w:lang w:eastAsia="es-ES"/>
        </w:rPr>
      </w:pPr>
      <w:r>
        <w:rPr>
          <w:rFonts w:eastAsia="Times New Roman" w:cs="Tahoma" w:ascii="Tahoma" w:hAnsi="Tahoma"/>
          <w:color w:val="000000"/>
          <w:sz w:val="18"/>
          <w:szCs w:val="18"/>
          <w:lang w:eastAsia="es-ES"/>
        </w:rPr>
      </w:r>
    </w:p>
    <w:p>
      <w:pPr>
        <w:pStyle w:val="Normal"/>
        <w:widowControl/>
        <w:tabs>
          <w:tab w:val="clear" w:pos="709"/>
          <w:tab w:val="left" w:pos="899" w:leader="none"/>
        </w:tabs>
        <w:suppressAutoHyphens w:val="true"/>
        <w:bidi w:val="0"/>
        <w:spacing w:lineRule="auto" w:line="240" w:before="0" w:after="0"/>
        <w:ind w:hanging="0" w:left="283" w:right="0"/>
        <w:jc w:val="both"/>
        <w:rPr>
          <w:rFonts w:ascii="Tahoma" w:hAnsi="Tahoma" w:eastAsia="Times New Roman" w:cs="Tahoma"/>
          <w:color w:val="000000"/>
          <w:sz w:val="20"/>
          <w:szCs w:val="20"/>
          <w:lang w:eastAsia="es-ES"/>
        </w:rPr>
      </w:pPr>
      <w:r>
        <w:rPr>
          <w:rFonts w:eastAsia="Times New Roman" w:cs="Tahoma" w:ascii="Tahoma" w:hAnsi="Tahoma"/>
          <w:color w:val="000000"/>
          <w:sz w:val="20"/>
          <w:szCs w:val="20"/>
          <w:lang w:eastAsia="es-ES"/>
        </w:rPr>
        <w:t>La contratación de consultores de línea permitirá mitigar estas limitaciones al incrementar la capacidad técnica disponible para revisar, valorar y emitir actos administrativos definitivos en cumplimiento de los plazos legales. Este fortalecimiento resulta esencial para garantizar una gestión tributaria eficiente que permita alcanzar los objetivos estratégicos establecidos en el marco del Plan Operativo Anual 2026 y en observancia de los principios de seguridad jurídica, eficiencia y transparencia que rigen la actuación de la Administración Tributaria.</w:t>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OBJETIVOS DE LA CONSULTORÍA</w:t>
      </w:r>
    </w:p>
    <w:p>
      <w:pPr>
        <w:pStyle w:val="Normal"/>
        <w:jc w:val="both"/>
        <w:rPr>
          <w:rFonts w:ascii="Tahoma" w:hAnsi="Tahoma" w:cs="Tahoma"/>
          <w:sz w:val="20"/>
          <w:szCs w:val="20"/>
          <w:lang w:val="es-MX" w:eastAsia="en-US"/>
        </w:rPr>
      </w:pPr>
      <w:r>
        <w:rPr>
          <w:rFonts w:cs="Tahoma" w:ascii="Tahoma" w:hAnsi="Tahoma"/>
          <w:sz w:val="20"/>
          <w:szCs w:val="20"/>
          <w:lang w:val="es-MX" w:eastAsia="en-US"/>
        </w:rPr>
      </w:r>
    </w:p>
    <w:p>
      <w:pPr>
        <w:pStyle w:val="ListParagraph"/>
        <w:ind w:hanging="0" w:left="284" w:right="0"/>
        <w:jc w:val="both"/>
        <w:rPr>
          <w:rFonts w:ascii="Tahoma" w:hAnsi="Tahoma" w:cs="Tahoma"/>
          <w:b/>
          <w:lang w:val="es-MX"/>
        </w:rPr>
      </w:pPr>
      <w:r>
        <w:rPr>
          <w:rFonts w:cs="Tahoma" w:ascii="Tahoma" w:hAnsi="Tahoma"/>
          <w:b/>
          <w:lang w:val="es-MX"/>
        </w:rPr>
        <w:t>Objetivo General</w:t>
      </w:r>
    </w:p>
    <w:p>
      <w:pPr>
        <w:pStyle w:val="ListParagraph"/>
        <w:ind w:hanging="0" w:left="284" w:right="0"/>
        <w:jc w:val="both"/>
        <w:rPr>
          <w:rFonts w:ascii="Tahoma" w:hAnsi="Tahoma" w:cs="Tahoma"/>
          <w:lang w:val="es-MX"/>
        </w:rPr>
      </w:pPr>
      <w:r>
        <w:rPr>
          <w:rFonts w:cs="Tahoma" w:ascii="Tahoma" w:hAnsi="Tahoma"/>
          <w:lang w:val="es-MX"/>
        </w:rPr>
      </w:r>
    </w:p>
    <w:p>
      <w:pPr>
        <w:pStyle w:val="Normal"/>
        <w:widowControl/>
        <w:suppressAutoHyphens w:val="true"/>
        <w:bidi w:val="0"/>
        <w:spacing w:lineRule="auto" w:line="240" w:before="0" w:after="0"/>
        <w:ind w:hanging="0" w:left="283" w:right="0"/>
        <w:jc w:val="both"/>
        <w:rPr>
          <w:rFonts w:ascii="Tahoma" w:hAnsi="Tahoma" w:eastAsia="Times New Roman" w:cs="Tahoma"/>
          <w:sz w:val="20"/>
          <w:szCs w:val="16"/>
          <w:lang w:val="x-none" w:eastAsia="x-none"/>
        </w:rPr>
      </w:pPr>
      <w:r>
        <w:rPr>
          <w:rFonts w:eastAsia="Times New Roman" w:cs="Tahoma" w:ascii="Tahoma" w:hAnsi="Tahoma"/>
          <w:sz w:val="20"/>
          <w:szCs w:val="16"/>
          <w:lang w:val="x-none" w:eastAsia="x-none"/>
        </w:rPr>
        <w:t>Emitir y notificar actos administrativos definitivos eficaces conforme a lo previsto en la Ley N° 2492 y normativa reglamentaria en vigencia, cumpliendo los plazos y procedimientos establecidos para el efecto, gestionando además el pago de la deuda tributaria determinada y/o sanciones antes de su constitución en Título de Ejecución Tributaria.</w:t>
      </w:r>
    </w:p>
    <w:p>
      <w:pPr>
        <w:pStyle w:val="ListParagraph"/>
        <w:ind w:hanging="0" w:left="284" w:right="0"/>
        <w:jc w:val="both"/>
        <w:rPr>
          <w:rFonts w:ascii="Tahoma" w:hAnsi="Tahoma" w:cs="Tahoma"/>
          <w:b/>
          <w:sz w:val="18"/>
          <w:szCs w:val="18"/>
          <w:lang w:val="es-MX"/>
        </w:rPr>
      </w:pPr>
      <w:r>
        <w:rPr>
          <w:rFonts w:cs="Tahoma" w:ascii="Tahoma" w:hAnsi="Tahoma"/>
          <w:b/>
          <w:sz w:val="18"/>
          <w:szCs w:val="18"/>
          <w:lang w:val="es-MX"/>
        </w:rPr>
      </w:r>
    </w:p>
    <w:p>
      <w:pPr>
        <w:pStyle w:val="ListParagraph"/>
        <w:ind w:hanging="0" w:left="426" w:right="0"/>
        <w:jc w:val="both"/>
        <w:rPr>
          <w:rFonts w:ascii="Tahoma" w:hAnsi="Tahoma" w:cs="Tahoma"/>
          <w:b/>
          <w:lang w:val="es-MX"/>
        </w:rPr>
      </w:pPr>
      <w:r>
        <w:rPr>
          <w:rFonts w:cs="Tahoma" w:ascii="Tahoma" w:hAnsi="Tahoma"/>
          <w:b/>
          <w:lang w:val="es-MX"/>
        </w:rPr>
        <w:t>Objetivos Específicos</w:t>
      </w:r>
    </w:p>
    <w:p>
      <w:pPr>
        <w:pStyle w:val="Normal"/>
        <w:tabs>
          <w:tab w:val="clear" w:pos="709"/>
          <w:tab w:val="left" w:pos="1701" w:leader="none"/>
        </w:tabs>
        <w:spacing w:before="0" w:after="0"/>
        <w:contextualSpacing/>
        <w:jc w:val="both"/>
        <w:rPr>
          <w:rFonts w:ascii="Tahoma" w:hAnsi="Tahoma" w:cs="Tahoma"/>
          <w:sz w:val="20"/>
          <w:szCs w:val="20"/>
        </w:rPr>
      </w:pPr>
      <w:r>
        <w:rPr>
          <w:rFonts w:cs="Tahoma" w:ascii="Tahoma" w:hAnsi="Tahoma"/>
          <w:sz w:val="20"/>
          <w:szCs w:val="20"/>
        </w:rPr>
      </w:r>
    </w:p>
    <w:p>
      <w:pPr>
        <w:pStyle w:val="Standard1"/>
        <w:numPr>
          <w:ilvl w:val="0"/>
          <w:numId w:val="3"/>
        </w:numPr>
        <w:spacing w:lineRule="auto" w:line="240" w:before="0" w:after="0"/>
        <w:ind w:hanging="360" w:left="720" w:right="-113"/>
        <w:jc w:val="both"/>
        <w:rPr/>
      </w:pPr>
      <w:r>
        <w:rPr>
          <w:rFonts w:eastAsia="Calibri" w:cs="Tahoma" w:ascii="Tahoma" w:hAnsi="Tahoma"/>
          <w:sz w:val="20"/>
          <w:szCs w:val="20"/>
          <w:lang w:eastAsia="en-US"/>
        </w:rPr>
        <w:t>Efectuar la revisión de forma y fondo de documentos base para la emisión de actos definitivos.</w:t>
      </w:r>
    </w:p>
    <w:p>
      <w:pPr>
        <w:pStyle w:val="Standard1"/>
        <w:numPr>
          <w:ilvl w:val="0"/>
          <w:numId w:val="3"/>
        </w:numPr>
        <w:spacing w:lineRule="auto" w:line="240" w:before="0" w:after="0"/>
        <w:ind w:hanging="360" w:left="720" w:right="-113"/>
        <w:jc w:val="both"/>
        <w:rPr>
          <w:rFonts w:ascii="Tahoma" w:hAnsi="Tahoma" w:eastAsia="Calibri" w:cs="Tahoma"/>
          <w:sz w:val="20"/>
          <w:szCs w:val="20"/>
          <w:lang w:eastAsia="en-US"/>
        </w:rPr>
      </w:pPr>
      <w:r>
        <w:rPr>
          <w:rFonts w:eastAsia="Calibri" w:cs="Tahoma" w:ascii="Tahoma" w:hAnsi="Tahoma"/>
          <w:sz w:val="20"/>
          <w:szCs w:val="20"/>
          <w:lang w:eastAsia="en-US"/>
        </w:rPr>
        <w:t>Revisar y valorar los descargos presentados por el contribuyente, en los plazos establecidos para el efecto.</w:t>
      </w:r>
    </w:p>
    <w:p>
      <w:pPr>
        <w:pStyle w:val="Standard1"/>
        <w:numPr>
          <w:ilvl w:val="0"/>
          <w:numId w:val="3"/>
        </w:numPr>
        <w:spacing w:lineRule="auto" w:line="240" w:before="0" w:after="0"/>
        <w:ind w:hanging="360" w:left="720" w:right="-113"/>
        <w:jc w:val="both"/>
        <w:rPr>
          <w:rFonts w:ascii="Tahoma" w:hAnsi="Tahoma" w:eastAsia="Calibri" w:cs="Tahoma"/>
          <w:sz w:val="20"/>
          <w:szCs w:val="20"/>
          <w:lang w:eastAsia="en-US"/>
        </w:rPr>
      </w:pPr>
      <w:r>
        <w:rPr>
          <w:rFonts w:eastAsia="Calibri" w:cs="Tahoma" w:ascii="Tahoma" w:hAnsi="Tahoma"/>
          <w:sz w:val="20"/>
          <w:szCs w:val="20"/>
          <w:lang w:eastAsia="en-US"/>
        </w:rPr>
        <w:t>Emitir y notificar Resoluciones Determinativas, Resoluciones Sancionatorias, Resoluciones Administrativas de Facilidades de Pago, Resoluciones Administrativas de CEDEIM u otras cumpliendo los plazos y procedimientos establecidos en normativa vigente.</w:t>
      </w:r>
    </w:p>
    <w:p>
      <w:pPr>
        <w:pStyle w:val="Standard1"/>
        <w:numPr>
          <w:ilvl w:val="0"/>
          <w:numId w:val="3"/>
        </w:numPr>
        <w:spacing w:lineRule="auto" w:line="240" w:before="0" w:after="0"/>
        <w:ind w:hanging="360" w:left="720" w:right="-170"/>
        <w:jc w:val="both"/>
        <w:rPr>
          <w:rFonts w:ascii="Tahoma" w:hAnsi="Tahoma" w:eastAsia="Calibri" w:cs="Tahoma"/>
          <w:sz w:val="20"/>
          <w:szCs w:val="20"/>
          <w:lang w:eastAsia="en-US"/>
        </w:rPr>
      </w:pPr>
      <w:r>
        <w:rPr>
          <w:rFonts w:eastAsia="Calibri" w:cs="Tahoma" w:ascii="Tahoma" w:hAnsi="Tahoma"/>
          <w:sz w:val="20"/>
          <w:szCs w:val="20"/>
          <w:lang w:eastAsia="en-US"/>
        </w:rPr>
        <w:t>Brindar orientación al contribuyente respecto a las alternativas de pago, el beneficio del arrepentimiento eficaz, régimen de reducción de sanciones y procedimientos en general previstos en la Ley N° 2492.</w:t>
      </w:r>
    </w:p>
    <w:p>
      <w:pPr>
        <w:pStyle w:val="ListParagraph"/>
        <w:numPr>
          <w:ilvl w:val="0"/>
          <w:numId w:val="3"/>
        </w:numPr>
        <w:spacing w:lineRule="auto" w:line="240"/>
        <w:jc w:val="both"/>
        <w:rPr/>
      </w:pPr>
      <w:r>
        <w:rPr>
          <w:rFonts w:eastAsia="Calibri" w:cs="Tahoma" w:ascii="Tahoma" w:hAnsi="Tahoma"/>
        </w:rPr>
        <w:t>Contar con información fidedigna y oportuna a partir del registro y actualización de los diversos procesos atendidos y actos emitidos, en los sistemas y aplicativos disponibles para Técnica Jurídica</w:t>
      </w:r>
      <w:r>
        <w:rPr>
          <w:rFonts w:cs="Tahoma" w:ascii="Tahoma" w:hAnsi="Tahoma"/>
        </w:rPr>
        <w:t>.</w:t>
      </w:r>
    </w:p>
    <w:p>
      <w:pPr>
        <w:pStyle w:val="ListParagraph"/>
        <w:numPr>
          <w:ilvl w:val="0"/>
          <w:numId w:val="0"/>
        </w:numPr>
        <w:ind w:hanging="0" w:left="720"/>
        <w:jc w:val="both"/>
        <w:rPr>
          <w:rFonts w:ascii="Tahoma" w:hAnsi="Tahoma" w:cs="Tahoma"/>
          <w:sz w:val="18"/>
          <w:szCs w:val="18"/>
        </w:rPr>
      </w:pPr>
      <w:r>
        <w:rPr>
          <w:rFonts w:cs="Tahoma" w:ascii="Tahoma" w:hAnsi="Tahoma"/>
          <w:sz w:val="18"/>
          <w:szCs w:val="18"/>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ALCANCE DEL SERVICIO</w:t>
      </w:r>
    </w:p>
    <w:p>
      <w:pPr>
        <w:pStyle w:val="Normal"/>
        <w:ind w:hanging="0" w:left="426" w:right="0"/>
        <w:jc w:val="both"/>
        <w:rPr>
          <w:rFonts w:ascii="Tahoma" w:hAnsi="Tahoma" w:cs="Tahoma"/>
          <w:sz w:val="18"/>
          <w:szCs w:val="18"/>
          <w:shd w:fill="auto" w:val="clear"/>
        </w:rPr>
      </w:pPr>
      <w:r>
        <w:rPr>
          <w:rFonts w:cs="Tahoma" w:ascii="Tahoma" w:hAnsi="Tahoma"/>
          <w:sz w:val="18"/>
          <w:szCs w:val="18"/>
          <w:shd w:fill="auto" w:val="clear"/>
        </w:rPr>
      </w:r>
    </w:p>
    <w:p>
      <w:pPr>
        <w:pStyle w:val="Normal"/>
        <w:ind w:hanging="0" w:left="284" w:right="0"/>
        <w:jc w:val="both"/>
        <w:rPr>
          <w:shd w:fill="auto" w:val="clear"/>
        </w:rPr>
      </w:pPr>
      <w:r>
        <w:rPr>
          <w:rFonts w:eastAsia="Calibri" w:cs="Tahoma" w:ascii="Tahoma" w:hAnsi="Tahoma"/>
          <w:sz w:val="20"/>
          <w:szCs w:val="20"/>
          <w:shd w:fill="auto" w:val="clear"/>
          <w:lang w:eastAsia="en-US"/>
        </w:rPr>
        <w:t>El CONSULTOR realizará tareas de apoyo Tecnico -Juridico a la unidad Técnica Jurídica del Departamento Jurídico y de Cobranza Coactiva de la Gerencia Distrital Montero, velando por el cumplimiento de las actividades y resultados esperados detallados en los términos de referencia, a través del cumplimiento de la normativa inherente  a los procesos que desarrollará.</w:t>
      </w:r>
    </w:p>
    <w:p>
      <w:pPr>
        <w:pStyle w:val="Normal"/>
        <w:ind w:hanging="0" w:left="426" w:right="0"/>
        <w:jc w:val="both"/>
        <w:rPr>
          <w:rFonts w:ascii="Tahoma" w:hAnsi="Tahoma" w:cs="Tahoma"/>
          <w:sz w:val="20"/>
          <w:szCs w:val="20"/>
        </w:rPr>
      </w:pPr>
      <w:r>
        <w:rPr>
          <w:rFonts w:cs="Tahoma" w:ascii="Tahoma" w:hAnsi="Tahoma"/>
          <w:sz w:val="20"/>
          <w:szCs w:val="20"/>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 xml:space="preserve">ACTIVIDADES </w:t>
      </w:r>
    </w:p>
    <w:p>
      <w:pPr>
        <w:pStyle w:val="Normal"/>
        <w:ind w:firstLine="284" w:left="0" w:right="0"/>
        <w:jc w:val="both"/>
        <w:rPr>
          <w:rFonts w:ascii="Tahoma" w:hAnsi="Tahoma" w:cs="Tahoma"/>
          <w:color w:val="000000"/>
          <w:sz w:val="20"/>
          <w:szCs w:val="20"/>
        </w:rPr>
      </w:pPr>
      <w:r>
        <w:rPr>
          <w:rFonts w:cs="Tahoma" w:ascii="Tahoma" w:hAnsi="Tahoma"/>
          <w:color w:val="000000"/>
          <w:sz w:val="20"/>
          <w:szCs w:val="20"/>
        </w:rPr>
        <w:t xml:space="preserve">   </w:t>
      </w:r>
    </w:p>
    <w:p>
      <w:pPr>
        <w:pStyle w:val="Normal"/>
        <w:ind w:hanging="0" w:left="284" w:right="0"/>
        <w:jc w:val="both"/>
        <w:rPr>
          <w:rFonts w:ascii="Tahoma" w:hAnsi="Tahoma" w:cs="Tahoma"/>
          <w:color w:val="000000"/>
          <w:sz w:val="20"/>
          <w:szCs w:val="20"/>
        </w:rPr>
      </w:pPr>
      <w:r>
        <w:rPr>
          <w:rFonts w:cs="Tahoma" w:ascii="Tahoma" w:hAnsi="Tahoma"/>
          <w:color w:val="000000"/>
          <w:sz w:val="20"/>
          <w:szCs w:val="20"/>
        </w:rPr>
        <w:t>Las actividades a ser desarrolladas por el CONSULTOR son las siguientes:</w:t>
      </w:r>
    </w:p>
    <w:p>
      <w:pPr>
        <w:pStyle w:val="Normal"/>
        <w:spacing w:lineRule="auto" w:line="276"/>
        <w:ind w:hanging="0" w:left="426" w:right="0"/>
        <w:jc w:val="both"/>
        <w:rPr>
          <w:rFonts w:ascii="Tahoma" w:hAnsi="Tahoma" w:cs="Tahoma"/>
          <w:color w:val="000000"/>
          <w:sz w:val="20"/>
          <w:szCs w:val="20"/>
        </w:rPr>
      </w:pPr>
      <w:r>
        <w:rPr>
          <w:rFonts w:cs="Tahoma" w:ascii="Tahoma" w:hAnsi="Tahoma"/>
          <w:color w:val="000000"/>
          <w:sz w:val="20"/>
          <w:szCs w:val="20"/>
        </w:rPr>
      </w:r>
    </w:p>
    <w:p>
      <w:pPr>
        <w:pStyle w:val="Standard1"/>
        <w:numPr>
          <w:ilvl w:val="0"/>
          <w:numId w:val="4"/>
        </w:numPr>
        <w:spacing w:lineRule="auto" w:line="240"/>
        <w:jc w:val="both"/>
        <w:rPr/>
      </w:pPr>
      <w:r>
        <w:rPr>
          <w:rFonts w:eastAsia="Calibri" w:cs="Tahoma" w:ascii="Tahoma" w:hAnsi="Tahoma"/>
          <w:sz w:val="20"/>
          <w:szCs w:val="20"/>
          <w:lang w:eastAsia="en-US"/>
        </w:rPr>
        <w:t>Cumplir con las metas establecidas para el proye</w:t>
      </w:r>
      <w:r>
        <w:rPr>
          <w:rFonts w:eastAsia="Calibri" w:cs="Tahoma" w:ascii="Tahoma" w:hAnsi="Tahoma"/>
          <w:sz w:val="20"/>
          <w:szCs w:val="20"/>
          <w:shd w:fill="auto" w:val="clear"/>
          <w:lang w:eastAsia="en-US"/>
        </w:rPr>
        <w:t>cto en el POA/</w:t>
      </w:r>
      <w:r>
        <w:rPr>
          <w:rFonts w:eastAsia="Calibri" w:cs="Tahoma" w:ascii="Tahoma" w:hAnsi="Tahoma"/>
          <w:sz w:val="20"/>
          <w:szCs w:val="20"/>
          <w:shd w:fill="auto" w:val="clear"/>
          <w:lang w:val="es-ES" w:eastAsia="en-US"/>
        </w:rPr>
        <w:t>2026</w:t>
      </w:r>
      <w:r>
        <w:rPr>
          <w:rFonts w:eastAsia="Calibri" w:cs="Tahoma" w:ascii="Tahoma" w:hAnsi="Tahoma"/>
          <w:sz w:val="20"/>
          <w:szCs w:val="20"/>
          <w:shd w:fill="auto" w:val="clear"/>
          <w:lang w:eastAsia="en-US"/>
        </w:rPr>
        <w:t>, s</w:t>
      </w:r>
      <w:r>
        <w:rPr>
          <w:rFonts w:eastAsia="Calibri" w:cs="Tahoma" w:ascii="Tahoma" w:hAnsi="Tahoma"/>
          <w:sz w:val="20"/>
          <w:szCs w:val="20"/>
          <w:lang w:eastAsia="en-US"/>
        </w:rPr>
        <w:t>egún las instrucciones del inmediato superior y superior jerárquico.</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eastAsia="Calibri" w:cs="Tahoma" w:ascii="Tahoma" w:hAnsi="Tahoma"/>
          <w:sz w:val="20"/>
          <w:szCs w:val="20"/>
          <w:lang w:eastAsia="en-US"/>
        </w:rPr>
        <w:t>Realizar el registro y actualización de los diversos procesos remitidos por el Departamento de Fiscalización y Departamento de Recaudación y Empadronamiento, así como de los actos emitidos para su atención, en los sistemas y aplicativos disponibles para Técnica Jurídica, de acuerdo a los procedimientos y lineamientos establecidos.</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cs="Tahoma" w:ascii="Tahoma" w:hAnsi="Tahoma"/>
          <w:sz w:val="20"/>
          <w:szCs w:val="20"/>
        </w:rPr>
        <w:t>Realizar la revisión de forma y fondo de procesos remitidos para la emisión de actos definitivos.</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cs="Tahoma" w:ascii="Tahoma" w:hAnsi="Tahoma"/>
          <w:sz w:val="20"/>
          <w:szCs w:val="20"/>
        </w:rPr>
        <w:t>Revisar y valorar los descargos presentados por el contribuyente.</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cs="Tahoma" w:ascii="Tahoma" w:hAnsi="Tahoma"/>
          <w:sz w:val="20"/>
          <w:szCs w:val="20"/>
        </w:rPr>
        <w:t>Revisar pagos y efectuar cálculos de la Deuda Tributaria y/o sanciones.</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cs="Tahoma" w:ascii="Tahoma" w:hAnsi="Tahoma"/>
          <w:sz w:val="20"/>
          <w:szCs w:val="20"/>
        </w:rPr>
        <w:t>Proyectar, emitir y notificar Resoluciones Determinativas, Resoluciones Sancionatorias, Resoluciones Administrativas por Facilidades de Pago, CEDEIMs y otras, considerando los requisitos para su validez, dentro los plazos establecidos.</w:t>
      </w:r>
    </w:p>
    <w:p>
      <w:pPr>
        <w:pStyle w:val="Standard1"/>
        <w:numPr>
          <w:ilvl w:val="0"/>
          <w:numId w:val="4"/>
        </w:numPr>
        <w:tabs>
          <w:tab w:val="clear" w:pos="709"/>
          <w:tab w:val="left" w:pos="-1690" w:leader="none"/>
          <w:tab w:val="left" w:pos="1800" w:leader="none"/>
        </w:tabs>
        <w:spacing w:lineRule="auto" w:line="240"/>
        <w:ind w:hanging="283" w:left="567" w:right="334"/>
        <w:jc w:val="both"/>
        <w:rPr/>
      </w:pPr>
      <w:r>
        <w:rPr>
          <w:rFonts w:eastAsia="Calibri" w:cs="Tahoma" w:ascii="Tahoma" w:hAnsi="Tahoma"/>
          <w:sz w:val="20"/>
          <w:szCs w:val="20"/>
          <w:lang w:eastAsia="en-US"/>
        </w:rPr>
        <w:t>Brindar orientación al contribuyente respecto a las alternativas de pago, el beneficio del arrepentimiento eficaz, régimen de reducción de sanciones y procedimientos en general previstos en la Ley N° 2492.</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cs="Tahoma"/>
          <w:sz w:val="20"/>
          <w:szCs w:val="20"/>
        </w:rPr>
      </w:pPr>
      <w:r>
        <w:rPr>
          <w:rFonts w:cs="Tahoma" w:ascii="Tahoma" w:hAnsi="Tahoma"/>
          <w:sz w:val="20"/>
          <w:szCs w:val="20"/>
        </w:rPr>
        <w:t>Proyección, emisión y notificación de otros actuados administrativos de carácter tributario.</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cs="Tahoma"/>
          <w:sz w:val="20"/>
          <w:szCs w:val="20"/>
        </w:rPr>
      </w:pPr>
      <w:r>
        <w:rPr>
          <w:rFonts w:cs="Tahoma" w:ascii="Tahoma" w:hAnsi="Tahoma"/>
          <w:sz w:val="20"/>
          <w:szCs w:val="20"/>
        </w:rPr>
        <w:t>Elaborar Informes de Conclusión, e Informes de inexistencia de adeudos tributarios.</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cs="Tahoma"/>
          <w:sz w:val="20"/>
          <w:szCs w:val="20"/>
        </w:rPr>
      </w:pPr>
      <w:r>
        <w:rPr>
          <w:rFonts w:cs="Tahoma" w:ascii="Tahoma" w:hAnsi="Tahoma"/>
          <w:sz w:val="20"/>
          <w:szCs w:val="20"/>
        </w:rPr>
        <w:t>Proyectar, emitir y notificar Autos de Conclusión de Trámite u otros actos conclusivos que permitan proseguir con el proceso.</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cs="Tahoma"/>
          <w:sz w:val="20"/>
          <w:szCs w:val="20"/>
        </w:rPr>
      </w:pPr>
      <w:r>
        <w:rPr>
          <w:rFonts w:cs="Tahoma" w:ascii="Tahoma" w:hAnsi="Tahoma"/>
          <w:sz w:val="20"/>
          <w:szCs w:val="20"/>
        </w:rPr>
        <w:t>Remitir actos definitivos firmes no pagados a Cobranza Coactiva o Contencioso Tributario.</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eastAsia="Calibri" w:cs="Tahoma"/>
          <w:sz w:val="20"/>
          <w:szCs w:val="20"/>
          <w:lang w:eastAsia="en-US"/>
        </w:rPr>
      </w:pPr>
      <w:r>
        <w:rPr>
          <w:rFonts w:eastAsia="Calibri" w:cs="Tahoma" w:ascii="Tahoma" w:hAnsi="Tahoma"/>
          <w:sz w:val="20"/>
          <w:szCs w:val="20"/>
          <w:lang w:eastAsia="en-US"/>
        </w:rPr>
        <w:t>Organizar y foliar cronológicamente expedientes.</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eastAsia="Calibri" w:cs="Tahoma"/>
          <w:sz w:val="20"/>
          <w:szCs w:val="20"/>
          <w:lang w:eastAsia="en-US"/>
        </w:rPr>
      </w:pPr>
      <w:r>
        <w:rPr>
          <w:rFonts w:eastAsia="Calibri" w:cs="Tahoma" w:ascii="Tahoma" w:hAnsi="Tahoma"/>
          <w:sz w:val="20"/>
          <w:szCs w:val="20"/>
          <w:lang w:eastAsia="en-US"/>
        </w:rPr>
        <w:t>Brindar orientación al contribuyente en el llenado de boletas para el pago de sus obligaciones tributarias.</w:t>
      </w:r>
    </w:p>
    <w:p>
      <w:pPr>
        <w:pStyle w:val="Standard1"/>
        <w:widowControl/>
        <w:numPr>
          <w:ilvl w:val="0"/>
          <w:numId w:val="4"/>
        </w:numPr>
        <w:tabs>
          <w:tab w:val="clear" w:pos="709"/>
          <w:tab w:val="left" w:pos="-1690" w:leader="none"/>
          <w:tab w:val="left" w:pos="1800" w:leader="none"/>
        </w:tabs>
        <w:suppressAutoHyphens w:val="true"/>
        <w:bidi w:val="0"/>
        <w:spacing w:lineRule="auto" w:line="240" w:before="0" w:after="0"/>
        <w:ind w:hanging="283" w:left="567" w:right="334"/>
        <w:jc w:val="both"/>
        <w:rPr>
          <w:rFonts w:ascii="Tahoma" w:hAnsi="Tahoma" w:eastAsia="Calibri" w:cs="Tahoma"/>
          <w:sz w:val="20"/>
          <w:szCs w:val="20"/>
          <w:lang w:eastAsia="en-US"/>
        </w:rPr>
      </w:pPr>
      <w:r>
        <w:rPr>
          <w:rFonts w:eastAsia="Calibri" w:cs="Tahoma" w:ascii="Tahoma" w:hAnsi="Tahoma"/>
          <w:sz w:val="20"/>
          <w:szCs w:val="20"/>
          <w:lang w:eastAsia="en-US"/>
        </w:rPr>
        <w:t>Registrar las boletas de pago de manera permanente, en el Módulo de Registro de Boletas – UTJ, hasta el tercer día hábil de cada mes.</w:t>
      </w:r>
    </w:p>
    <w:p>
      <w:pPr>
        <w:pStyle w:val="Standard1"/>
        <w:numPr>
          <w:ilvl w:val="0"/>
          <w:numId w:val="4"/>
        </w:numPr>
        <w:tabs>
          <w:tab w:val="clear" w:pos="709"/>
          <w:tab w:val="left" w:pos="-1690" w:leader="none"/>
          <w:tab w:val="left" w:pos="1800" w:leader="none"/>
        </w:tabs>
        <w:spacing w:lineRule="auto" w:line="240"/>
        <w:ind w:hanging="283" w:left="567" w:right="334"/>
        <w:jc w:val="both"/>
        <w:rPr>
          <w:rFonts w:ascii="Tahoma" w:hAnsi="Tahoma" w:eastAsia="Calibri" w:cs="Tahoma"/>
          <w:sz w:val="20"/>
          <w:szCs w:val="20"/>
          <w:lang w:eastAsia="en-US"/>
        </w:rPr>
      </w:pPr>
      <w:r>
        <w:rPr>
          <w:rFonts w:eastAsia="Calibri" w:cs="Tahoma" w:ascii="Tahoma" w:hAnsi="Tahoma"/>
          <w:sz w:val="20"/>
          <w:szCs w:val="20"/>
          <w:lang w:val="es-BO" w:eastAsia="en-US"/>
        </w:rPr>
        <w:t>Atender las diligencias y gestiones emergentes de procesos y trámites de las gerencias operativas de manera más oportuna</w:t>
      </w:r>
      <w:r>
        <w:rPr>
          <w:rFonts w:eastAsia="Calibri" w:cs="Tahoma" w:ascii="Tahoma" w:hAnsi="Tahoma"/>
          <w:sz w:val="20"/>
          <w:szCs w:val="20"/>
          <w:lang w:eastAsia="en-US"/>
        </w:rPr>
        <w:t>.</w:t>
      </w:r>
    </w:p>
    <w:p>
      <w:pPr>
        <w:pStyle w:val="ListParagraph"/>
        <w:widowControl/>
        <w:numPr>
          <w:ilvl w:val="0"/>
          <w:numId w:val="4"/>
        </w:numPr>
        <w:tabs>
          <w:tab w:val="clear" w:pos="709"/>
          <w:tab w:val="left" w:pos="-1690" w:leader="none"/>
          <w:tab w:val="left" w:pos="1800" w:leader="none"/>
        </w:tabs>
        <w:suppressAutoHyphens w:val="true"/>
        <w:bidi w:val="0"/>
        <w:spacing w:lineRule="auto" w:line="240" w:before="0" w:after="0"/>
        <w:ind w:hanging="283" w:left="567" w:right="284"/>
        <w:jc w:val="both"/>
        <w:rPr>
          <w:rFonts w:ascii="Tahoma" w:hAnsi="Tahoma" w:eastAsia="Calibri" w:cs="Tahoma"/>
          <w:sz w:val="20"/>
          <w:szCs w:val="20"/>
          <w:lang w:val="es-BO" w:eastAsia="en-US"/>
        </w:rPr>
      </w:pPr>
      <w:r>
        <w:rPr>
          <w:rFonts w:eastAsia="Calibri" w:cs="Tahoma" w:ascii="Tahoma" w:hAnsi="Tahoma"/>
          <w:sz w:val="20"/>
          <w:szCs w:val="20"/>
          <w:lang w:val="es-BO" w:eastAsia="en-US"/>
        </w:rPr>
        <w:t>Digitalizar los procesos inherentes a la determinación y otra documentación.</w:t>
      </w:r>
    </w:p>
    <w:p>
      <w:pPr>
        <w:pStyle w:val="ListParagraph"/>
        <w:numPr>
          <w:ilvl w:val="0"/>
          <w:numId w:val="4"/>
        </w:numPr>
        <w:spacing w:lineRule="auto" w:line="240" w:before="0" w:after="0"/>
        <w:ind w:hanging="283" w:left="567" w:right="284"/>
        <w:contextualSpacing/>
        <w:jc w:val="both"/>
        <w:rPr/>
      </w:pPr>
      <w:r>
        <w:rPr>
          <w:rFonts w:eastAsia="Calibri" w:cs="Tahoma" w:ascii="Tahoma" w:hAnsi="Tahoma"/>
          <w:sz w:val="20"/>
          <w:szCs w:val="20"/>
          <w:shd w:fill="auto" w:val="clear"/>
          <w:lang w:val="es-MX" w:eastAsia="en-US"/>
        </w:rPr>
        <w:t xml:space="preserve">Proceder a la reposición de procesos de </w:t>
      </w:r>
      <w:bookmarkStart w:id="103" w:name="_GoBack1"/>
      <w:bookmarkEnd w:id="103"/>
      <w:r>
        <w:rPr>
          <w:rFonts w:eastAsia="Calibri" w:cs="Tahoma" w:ascii="Tahoma" w:hAnsi="Tahoma"/>
          <w:sz w:val="20"/>
          <w:szCs w:val="20"/>
          <w:shd w:fill="auto" w:val="clear"/>
          <w:lang w:val="es-MX" w:eastAsia="en-US"/>
        </w:rPr>
        <w:t>determinación u otra documentación, en los casos que así corresponda de acuerdo a lo establecido por la Ley N° 2341 Ley de Procedimiento Administrativo.</w:t>
      </w:r>
      <w:r>
        <w:rPr>
          <w:rFonts w:cs="Tahoma" w:ascii="Tahoma" w:hAnsi="Tahoma"/>
          <w:shd w:fill="auto" w:val="clear"/>
        </w:rPr>
        <w:t xml:space="preserve"> </w:t>
      </w:r>
    </w:p>
    <w:p>
      <w:pPr>
        <w:pStyle w:val="Normal"/>
        <w:numPr>
          <w:ilvl w:val="0"/>
          <w:numId w:val="4"/>
        </w:numPr>
        <w:spacing w:lineRule="auto" w:line="240"/>
        <w:ind w:hanging="283" w:left="567" w:right="0"/>
        <w:jc w:val="both"/>
        <w:rPr>
          <w:rFonts w:ascii="Tahoma" w:hAnsi="Tahoma" w:eastAsia="Calibri" w:cs="Tahoma"/>
          <w:sz w:val="20"/>
          <w:szCs w:val="20"/>
          <w:lang w:val="es-MX" w:eastAsia="en-US"/>
        </w:rPr>
      </w:pPr>
      <w:r>
        <w:rPr>
          <w:rFonts w:eastAsia="Calibri" w:cs="Tahoma" w:ascii="Tahoma" w:hAnsi="Tahoma"/>
          <w:sz w:val="20"/>
          <w:szCs w:val="20"/>
          <w:lang w:val="es-MX" w:eastAsia="en-US"/>
        </w:rPr>
        <w:t>En caso de corresponder, participar en los Operativos de fiabilidad, Control Móvil de Facturación y otros que sean determinados por las Áreas Sustantivas del Servicio de Impuestos Nacionales.</w:t>
      </w:r>
    </w:p>
    <w:p>
      <w:pPr>
        <w:pStyle w:val="ListParagraph"/>
        <w:numPr>
          <w:ilvl w:val="0"/>
          <w:numId w:val="4"/>
        </w:numPr>
        <w:spacing w:lineRule="auto" w:line="240" w:before="0" w:after="0"/>
        <w:ind w:hanging="283" w:left="567" w:right="284"/>
        <w:contextualSpacing/>
        <w:jc w:val="both"/>
        <w:rPr>
          <w:rFonts w:ascii="Tahoma" w:hAnsi="Tahoma" w:cs="Tahoma"/>
        </w:rPr>
      </w:pPr>
      <w:r>
        <w:rPr>
          <w:rFonts w:cs="Tahoma" w:ascii="Tahoma" w:hAnsi="Tahoma"/>
        </w:rPr>
        <w:t>Otras tareas relativas a su naturaleza funcional que le sean asignadas.</w:t>
      </w:r>
    </w:p>
    <w:p>
      <w:pPr>
        <w:pStyle w:val="ListParagraph"/>
        <w:numPr>
          <w:ilvl w:val="0"/>
          <w:numId w:val="0"/>
        </w:numPr>
        <w:spacing w:lineRule="auto" w:line="240" w:before="0" w:after="0"/>
        <w:ind w:hanging="0" w:left="567" w:right="284"/>
        <w:contextualSpacing/>
        <w:jc w:val="both"/>
        <w:rPr>
          <w:rFonts w:ascii="Tahoma" w:hAnsi="Tahoma" w:cs="Tahoma"/>
        </w:rPr>
      </w:pPr>
      <w:r>
        <w:rPr>
          <w:rFonts w:cs="Tahoma" w:ascii="Tahoma" w:hAnsi="Tahoma"/>
        </w:rPr>
      </w:r>
    </w:p>
    <w:p>
      <w:pPr>
        <w:pStyle w:val="Heading1"/>
        <w:numPr>
          <w:ilvl w:val="0"/>
          <w:numId w:val="1"/>
        </w:numPr>
        <w:pBdr>
          <w:bottom w:val="single" w:sz="12" w:space="1" w:color="365F91"/>
        </w:pBdr>
        <w:spacing w:lineRule="auto" w:line="276" w:before="6" w:after="6"/>
        <w:ind w:hanging="0" w:left="284" w:right="0"/>
        <w:jc w:val="both"/>
        <w:rPr>
          <w:rFonts w:ascii="Tahoma" w:hAnsi="Tahoma" w:cs="Tahoma"/>
          <w:sz w:val="20"/>
          <w:szCs w:val="20"/>
          <w:lang w:val="es-BO"/>
        </w:rPr>
      </w:pPr>
      <w:r>
        <w:rPr>
          <w:rFonts w:cs="Tahoma"/>
          <w:sz w:val="20"/>
          <w:szCs w:val="20"/>
          <w:lang w:val="es-BO"/>
        </w:rPr>
        <w:t>RESULTADO ESPERADO DE LA CONSULTORÍA DE LÍNEA</w:t>
      </w:r>
    </w:p>
    <w:p>
      <w:pPr>
        <w:pStyle w:val="Normal"/>
        <w:ind w:hanging="0" w:left="284" w:right="0"/>
        <w:jc w:val="both"/>
        <w:rPr/>
      </w:pPr>
      <w:r>
        <w:rPr>
          <w:rFonts w:cs="Tahoma" w:ascii="Tahoma" w:hAnsi="Tahoma"/>
          <w:bCs/>
          <w:sz w:val="20"/>
          <w:szCs w:val="20"/>
          <w:lang w:eastAsia="en-US"/>
        </w:rPr>
        <w:t xml:space="preserve">El </w:t>
      </w:r>
      <w:r>
        <w:rPr>
          <w:rFonts w:cs="Tahoma" w:ascii="Tahoma" w:hAnsi="Tahoma"/>
          <w:sz w:val="20"/>
          <w:szCs w:val="20"/>
        </w:rPr>
        <w:t>CONSULTOR</w:t>
      </w:r>
      <w:r>
        <w:rPr>
          <w:rFonts w:cs="Tahoma" w:ascii="Tahoma" w:hAnsi="Tahoma"/>
          <w:bCs/>
          <w:sz w:val="20"/>
          <w:szCs w:val="20"/>
          <w:lang w:eastAsia="en-US"/>
        </w:rPr>
        <w:t xml:space="preserve"> asume la responsabilidad de cumplir con el 100% de todos los trámites que le sean asignados ya que, debido a la naturaleza de sus funciones apoyara(n) a Técnica Jurídica en la emisión, notificación, registro en el Sistema H</w:t>
      </w:r>
      <w:r>
        <w:rPr>
          <w:rFonts w:cs="Tahoma" w:ascii="Tahoma" w:hAnsi="Tahoma"/>
          <w:bCs/>
          <w:sz w:val="20"/>
          <w:szCs w:val="20"/>
          <w:shd w:fill="auto" w:val="clear"/>
          <w:lang w:eastAsia="en-US"/>
        </w:rPr>
        <w:t>istórico y otros sistemas desarrollados en el Servicio de Impuestos Nacionales inherentes a la Técnica Jurídica, re</w:t>
      </w:r>
      <w:r>
        <w:rPr>
          <w:rFonts w:cs="Tahoma" w:ascii="Tahoma" w:hAnsi="Tahoma"/>
          <w:bCs/>
          <w:sz w:val="20"/>
          <w:szCs w:val="20"/>
          <w:lang w:eastAsia="en-US"/>
        </w:rPr>
        <w:t>ferente a los actos administrativos firmes y otros</w:t>
      </w:r>
      <w:r>
        <w:rPr>
          <w:rFonts w:eastAsia="Times New Roman" w:cs="Tahoma" w:ascii="Tahoma" w:hAnsi="Tahoma"/>
          <w:sz w:val="20"/>
          <w:szCs w:val="20"/>
          <w:lang w:val="es-ES" w:eastAsia="en-US"/>
        </w:rPr>
        <w:t>.</w:t>
      </w:r>
    </w:p>
    <w:p>
      <w:pPr>
        <w:pStyle w:val="Normal"/>
        <w:ind w:hanging="0" w:left="0" w:right="0"/>
        <w:jc w:val="both"/>
        <w:rPr>
          <w:rFonts w:ascii="Tahoma" w:hAnsi="Tahoma" w:eastAsia="Times New Roman" w:cs="Tahoma"/>
          <w:sz w:val="20"/>
          <w:szCs w:val="20"/>
          <w:lang w:val="es-ES" w:eastAsia="en-US"/>
        </w:rPr>
      </w:pPr>
      <w:r>
        <w:rPr>
          <w:rFonts w:eastAsia="Times New Roman" w:cs="Tahoma" w:ascii="Tahoma" w:hAnsi="Tahoma"/>
          <w:sz w:val="20"/>
          <w:szCs w:val="20"/>
          <w:lang w:val="es-ES" w:eastAsia="en-US"/>
        </w:rPr>
      </w:r>
    </w:p>
    <w:p>
      <w:pPr>
        <w:pStyle w:val="Heading1"/>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PRESENTACIÓN DE INFORMES MENSUALES</w:t>
      </w:r>
    </w:p>
    <w:p>
      <w:pPr>
        <w:pStyle w:val="Normal"/>
        <w:jc w:val="both"/>
        <w:rPr>
          <w:rFonts w:ascii="Tahoma" w:hAnsi="Tahoma" w:cs="Tahoma"/>
          <w:sz w:val="20"/>
          <w:szCs w:val="20"/>
        </w:rPr>
      </w:pPr>
      <w:r>
        <w:rPr>
          <w:rFonts w:cs="Tahoma" w:ascii="Tahoma" w:hAnsi="Tahoma"/>
          <w:sz w:val="20"/>
          <w:szCs w:val="20"/>
        </w:rPr>
      </w:r>
    </w:p>
    <w:p>
      <w:pPr>
        <w:pStyle w:val="Sinespaciado"/>
        <w:widowControl/>
        <w:numPr>
          <w:ilvl w:val="0"/>
          <w:numId w:val="2"/>
        </w:numPr>
        <w:suppressAutoHyphens w:val="true"/>
        <w:bidi w:val="0"/>
        <w:ind w:hanging="0" w:left="283" w:right="0"/>
        <w:jc w:val="both"/>
        <w:rPr/>
      </w:pPr>
      <w:r>
        <w:rPr>
          <w:rFonts w:cs="Tahoma" w:ascii="Tahoma" w:hAnsi="Tahoma"/>
          <w:color w:val="000000"/>
          <w:sz w:val="20"/>
          <w:szCs w:val="20"/>
          <w:shd w:fill="auto" w:val="clear"/>
        </w:rPr>
        <w:t xml:space="preserve">El </w:t>
      </w:r>
      <w:r>
        <w:rPr>
          <w:rFonts w:cs="Tahoma" w:ascii="Tahoma" w:hAnsi="Tahoma"/>
          <w:b/>
          <w:color w:val="000000"/>
          <w:sz w:val="20"/>
          <w:szCs w:val="20"/>
          <w:shd w:fill="auto" w:val="clear"/>
        </w:rPr>
        <w:t>CONSULTOR</w:t>
      </w:r>
      <w:r>
        <w:rPr>
          <w:rFonts w:cs="Tahoma" w:ascii="Tahoma" w:hAnsi="Tahoma"/>
          <w:color w:val="000000"/>
          <w:sz w:val="20"/>
          <w:szCs w:val="20"/>
          <w:shd w:fill="auto" w:val="clear"/>
        </w:rPr>
        <w:t xml:space="preserve"> deberá presentar el “Informe Mensual de actividades” hasta el tercer (3er) día hábil del siguiente mes al que se cancelará el mismo, el cual deberá estar dirigido al Jefe de departamento Jurídico y de Cobranza Coactiva; adjuntando fotocopia del formulario de pago de contribuciones al Sistema de Pensiones como Asegurado y fotocopia de declaración jurada trimestral de pago de impuestos cuando corresponda.</w:t>
      </w:r>
    </w:p>
    <w:p>
      <w:pPr>
        <w:pStyle w:val="Sinespaciado"/>
        <w:widowControl/>
        <w:numPr>
          <w:ilvl w:val="0"/>
          <w:numId w:val="2"/>
        </w:numPr>
        <w:suppressAutoHyphens w:val="true"/>
        <w:bidi w:val="0"/>
        <w:ind w:hanging="0" w:left="283" w:right="0"/>
        <w:jc w:val="both"/>
        <w:rPr>
          <w:shd w:fill="auto" w:val="clear"/>
        </w:rPr>
      </w:pPr>
      <w:r>
        <w:rPr>
          <w:rFonts w:cs="Tahoma" w:ascii="Tahoma" w:hAnsi="Tahoma"/>
          <w:b/>
          <w:bCs/>
          <w:color w:val="000000"/>
          <w:sz w:val="20"/>
          <w:szCs w:val="20"/>
          <w:shd w:fill="auto" w:val="clear"/>
          <w:lang w:val="es-MX"/>
        </w:rPr>
        <w:t>El Jefe de Departamento Jurídico y de Cobranza Coactiva</w:t>
      </w:r>
      <w:r>
        <w:rPr>
          <w:rFonts w:cs="Tahoma" w:ascii="Tahoma" w:hAnsi="Tahoma"/>
          <w:color w:val="000000"/>
          <w:sz w:val="20"/>
          <w:szCs w:val="20"/>
          <w:shd w:fill="auto" w:val="clear"/>
          <w:lang w:val="es-MX"/>
        </w:rPr>
        <w:t xml:space="preserve">, deberá aprobar (firma y sello) el “Informe Mensual de Actividades” presentado por el Consultor hasta el día hábil siguiente de recibido el mismo. </w:t>
        <w:tab/>
        <w:t xml:space="preserve"> </w:t>
        <w:tab/>
      </w:r>
    </w:p>
    <w:p>
      <w:pPr>
        <w:pStyle w:val="Sinespaciado"/>
        <w:widowControl/>
        <w:numPr>
          <w:ilvl w:val="0"/>
          <w:numId w:val="2"/>
        </w:numPr>
        <w:suppressAutoHyphens w:val="true"/>
        <w:bidi w:val="0"/>
        <w:ind w:hanging="0" w:left="283" w:right="0"/>
        <w:jc w:val="both"/>
        <w:rPr>
          <w:shd w:fill="auto" w:val="clear"/>
        </w:rPr>
      </w:pPr>
      <w:r>
        <w:rPr>
          <w:rFonts w:cs="Tahoma" w:ascii="Tahoma" w:hAnsi="Tahoma"/>
          <w:b/>
          <w:bCs/>
          <w:color w:val="000000"/>
          <w:sz w:val="20"/>
          <w:szCs w:val="20"/>
          <w:shd w:fill="auto" w:val="clear"/>
          <w:lang w:val="es-MX" w:eastAsia="en-US"/>
        </w:rPr>
        <w:t xml:space="preserve">El Responsable de Técnica Jurídica y </w:t>
      </w:r>
      <w:r>
        <w:rPr>
          <w:rFonts w:cs="Tahoma" w:ascii="Tahoma" w:hAnsi="Tahoma"/>
          <w:b/>
          <w:bCs/>
          <w:color w:val="000000"/>
          <w:sz w:val="20"/>
          <w:szCs w:val="20"/>
          <w:shd w:fill="auto" w:val="clear"/>
          <w:lang w:eastAsia="en-US"/>
        </w:rPr>
        <w:t xml:space="preserve"> Jefe de Departamento </w:t>
      </w:r>
      <w:r>
        <w:rPr>
          <w:rFonts w:cs="Tahoma" w:ascii="Tahoma" w:hAnsi="Tahoma"/>
          <w:b/>
          <w:bCs/>
          <w:color w:val="000000"/>
          <w:sz w:val="20"/>
          <w:szCs w:val="20"/>
          <w:shd w:fill="auto" w:val="clear"/>
          <w:lang w:val="es-MX" w:eastAsia="en-US"/>
        </w:rPr>
        <w:t>Jurídico y de Cobranza Coactiva</w:t>
      </w:r>
      <w:r>
        <w:rPr>
          <w:rFonts w:cs="Tahoma" w:ascii="Tahoma" w:hAnsi="Tahoma"/>
          <w:color w:val="000000"/>
          <w:sz w:val="20"/>
          <w:szCs w:val="20"/>
          <w:shd w:fill="auto" w:val="clear"/>
          <w:lang w:eastAsia="en-US"/>
        </w:rPr>
        <w:t>, remitirá el “Informe Mensual de Actividades” aprobado mediante Informe al Gerente Distrital Montero hasta el día hábil siguiente de aprobado el informe mensual, dentro del mes que se está cancelando.</w:t>
      </w:r>
    </w:p>
    <w:p>
      <w:pPr>
        <w:pStyle w:val="ListParagraph"/>
        <w:rPr>
          <w:rFonts w:ascii="Cambria" w:hAnsi="Cambria" w:eastAsia="ＭＳ 明朝"/>
          <w:sz w:val="18"/>
          <w:szCs w:val="18"/>
        </w:rPr>
      </w:pPr>
      <w:r>
        <w:rPr>
          <w:rFonts w:eastAsia="ＭＳ 明朝" w:ascii="Cambria" w:hAnsi="Cambria"/>
          <w:sz w:val="18"/>
          <w:szCs w:val="18"/>
        </w:rPr>
      </w:r>
    </w:p>
    <w:p>
      <w:pPr>
        <w:pStyle w:val="Heading1"/>
        <w:numPr>
          <w:ilvl w:val="0"/>
          <w:numId w:val="1"/>
        </w:numPr>
        <w:pBdr>
          <w:bottom w:val="single" w:sz="12" w:space="1" w:color="365F91"/>
        </w:pBdr>
        <w:spacing w:before="0" w:after="0"/>
        <w:jc w:val="both"/>
        <w:rPr>
          <w:rFonts w:ascii="Tahoma" w:hAnsi="Tahoma" w:cs="Tahoma"/>
          <w:sz w:val="20"/>
          <w:szCs w:val="20"/>
          <w:lang w:val="es-BO"/>
        </w:rPr>
      </w:pPr>
      <w:r>
        <w:rPr>
          <w:rFonts w:cs="Tahoma"/>
          <w:sz w:val="20"/>
          <w:szCs w:val="20"/>
          <w:lang w:val="es-BO"/>
        </w:rPr>
        <w:t>PRESENTACIÓN DE INFORME FINAL</w:t>
      </w:r>
    </w:p>
    <w:p>
      <w:pPr>
        <w:pStyle w:val="Normal"/>
        <w:jc w:val="both"/>
        <w:rPr>
          <w:rFonts w:ascii="Tahoma" w:hAnsi="Tahoma" w:cs="Tahoma"/>
          <w:sz w:val="18"/>
          <w:szCs w:val="18"/>
        </w:rPr>
      </w:pPr>
      <w:r>
        <w:rPr>
          <w:rFonts w:cs="Tahoma" w:ascii="Tahoma" w:hAnsi="Tahoma"/>
          <w:sz w:val="18"/>
          <w:szCs w:val="18"/>
        </w:rPr>
      </w:r>
    </w:p>
    <w:p>
      <w:pPr>
        <w:pStyle w:val="ListParagraph"/>
        <w:numPr>
          <w:ilvl w:val="0"/>
          <w:numId w:val="2"/>
        </w:numPr>
        <w:ind w:hanging="454" w:left="737" w:right="0"/>
        <w:jc w:val="both"/>
        <w:rPr>
          <w:rFonts w:ascii="Tahoma" w:hAnsi="Tahoma" w:cs="Tahoma"/>
        </w:rPr>
      </w:pPr>
      <w:r>
        <w:rPr>
          <w:rFonts w:cs="Tahoma" w:ascii="Tahoma" w:hAnsi="Tahom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ListParagraph"/>
        <w:jc w:val="both"/>
        <w:rPr>
          <w:rFonts w:ascii="Tahoma" w:hAnsi="Tahoma" w:cs="Tahoma"/>
        </w:rPr>
      </w:pPr>
      <w:r>
        <w:rPr>
          <w:rFonts w:cs="Tahoma" w:ascii="Tahoma" w:hAnsi="Tahoma"/>
        </w:rPr>
      </w:r>
    </w:p>
    <w:p>
      <w:pPr>
        <w:pStyle w:val="ListParagraph"/>
        <w:numPr>
          <w:ilvl w:val="0"/>
          <w:numId w:val="2"/>
        </w:numPr>
        <w:ind w:hanging="454" w:left="737" w:right="0"/>
        <w:jc w:val="both"/>
        <w:rPr>
          <w:rFonts w:ascii="Tahoma" w:hAnsi="Tahoma" w:cs="Tahoma"/>
        </w:rPr>
      </w:pPr>
      <w:r>
        <w:rPr>
          <w:rFonts w:cs="Tahoma" w:ascii="Tahoma" w:hAnsi="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relación contractual y la solicitud de baja de todos los sistemas  a los cuales tuvo acceso el consultor.</w:t>
      </w:r>
    </w:p>
    <w:p>
      <w:pPr>
        <w:pStyle w:val="Normal"/>
        <w:jc w:val="both"/>
        <w:rPr>
          <w:rFonts w:ascii="Tahoma" w:hAnsi="Tahoma" w:eastAsia="Times New Roman" w:cs="Tahoma"/>
          <w:sz w:val="20"/>
          <w:szCs w:val="20"/>
          <w:lang w:val="es-ES" w:eastAsia="en-US"/>
        </w:rPr>
      </w:pPr>
      <w:r>
        <w:rPr>
          <w:rFonts w:eastAsia="Times New Roman" w:cs="Tahoma" w:ascii="Tahoma" w:hAnsi="Tahoma"/>
          <w:sz w:val="20"/>
          <w:szCs w:val="20"/>
          <w:lang w:val="es-ES" w:eastAsia="en-US"/>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 xml:space="preserve">COORDINACIÓN Y SUPERVISIÓN </w:t>
      </w:r>
    </w:p>
    <w:p>
      <w:pPr>
        <w:pStyle w:val="Normal"/>
        <w:ind w:hanging="0" w:left="284" w:right="0"/>
        <w:jc w:val="both"/>
        <w:rPr/>
      </w:pPr>
      <w:r>
        <w:rPr>
          <w:rFonts w:cs="Tahoma" w:ascii="Tahoma" w:hAnsi="Tahoma"/>
          <w:bCs/>
          <w:iCs/>
          <w:sz w:val="20"/>
          <w:szCs w:val="20"/>
        </w:rPr>
        <w:t xml:space="preserve">La consultoria se realizará en coordinación </w:t>
      </w:r>
      <w:r>
        <w:rPr>
          <w:rFonts w:cs="Tahoma" w:ascii="Tahoma" w:hAnsi="Tahoma"/>
          <w:bCs/>
          <w:iCs/>
          <w:sz w:val="20"/>
          <w:szCs w:val="20"/>
          <w:shd w:fill="auto" w:val="clear"/>
        </w:rPr>
        <w:t>y supervisión del Responsable de Técnica Jurídica y Jefe de Departamento Jurídico y de Cobranza Coactiva</w:t>
      </w:r>
      <w:r>
        <w:rPr>
          <w:rFonts w:cs="Tahoma" w:ascii="Tahoma" w:hAnsi="Tahoma"/>
          <w:sz w:val="20"/>
          <w:szCs w:val="20"/>
          <w:shd w:fill="auto" w:val="clear"/>
          <w:lang w:eastAsia="en-US"/>
        </w:rPr>
        <w:t>.</w:t>
      </w:r>
    </w:p>
    <w:p>
      <w:pPr>
        <w:pStyle w:val="Normal"/>
        <w:jc w:val="both"/>
        <w:rPr>
          <w:rFonts w:ascii="Tahoma" w:hAnsi="Tahoma" w:cs="Tahoma"/>
          <w:sz w:val="20"/>
          <w:szCs w:val="20"/>
          <w:lang w:eastAsia="en-US"/>
        </w:rPr>
      </w:pPr>
      <w:r>
        <w:rPr>
          <w:rFonts w:cs="Tahoma" w:ascii="Tahoma" w:hAnsi="Tahoma"/>
          <w:sz w:val="20"/>
          <w:szCs w:val="20"/>
          <w:lang w:eastAsia="en-US"/>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LUGAR Y PLAZO DE PRESTACIÓN DEL SERVICIO DE CONSULTORÍA</w:t>
      </w:r>
    </w:p>
    <w:p>
      <w:pPr>
        <w:pStyle w:val="NoSpacing"/>
        <w:ind w:hanging="0" w:left="0" w:right="0"/>
        <w:jc w:val="both"/>
        <w:rPr>
          <w:rFonts w:ascii="Tahoma" w:hAnsi="Tahoma" w:cs="Tahoma"/>
          <w:sz w:val="18"/>
          <w:szCs w:val="18"/>
        </w:rPr>
      </w:pPr>
      <w:r>
        <w:rPr>
          <w:rFonts w:cs="Tahoma" w:ascii="Tahoma" w:hAnsi="Tahoma"/>
          <w:sz w:val="18"/>
          <w:szCs w:val="18"/>
        </w:rPr>
      </w:r>
    </w:p>
    <w:p>
      <w:pPr>
        <w:pStyle w:val="NoSpacing"/>
        <w:ind w:hanging="0" w:left="284" w:right="0"/>
        <w:jc w:val="both"/>
        <w:rPr/>
      </w:pPr>
      <w:r>
        <w:rPr>
          <w:rFonts w:cs="Tahoma" w:ascii="Tahoma" w:hAnsi="Tahoma"/>
          <w:sz w:val="20"/>
          <w:szCs w:val="20"/>
        </w:rPr>
        <w:t>El consultor desarrollará sus actividades con dedic</w:t>
      </w:r>
      <w:r>
        <w:rPr>
          <w:rFonts w:cs="Tahoma" w:ascii="Tahoma" w:hAnsi="Tahoma"/>
          <w:sz w:val="20"/>
          <w:szCs w:val="20"/>
          <w:shd w:fill="auto" w:val="clear"/>
        </w:rPr>
        <w:t xml:space="preserve">ación exclusiva a la institución en las instalaciones de la Oficina del Departamento Jurídico y de Cobranza Coactiva de la Gerencia </w:t>
      </w:r>
      <w:r>
        <w:rPr>
          <w:rFonts w:cs="Tahoma" w:ascii="Tahoma" w:hAnsi="Tahoma"/>
          <w:b w:val="false"/>
          <w:bCs w:val="false"/>
          <w:sz w:val="20"/>
          <w:szCs w:val="20"/>
          <w:shd w:fill="auto" w:val="clear"/>
        </w:rPr>
        <w:t>Distrital Montero</w:t>
      </w:r>
      <w:r>
        <w:rPr>
          <w:rFonts w:cs="Tahoma" w:ascii="Tahoma" w:hAnsi="Tahoma"/>
          <w:sz w:val="20"/>
          <w:szCs w:val="20"/>
          <w:shd w:fill="auto" w:val="clear"/>
        </w:rPr>
        <w:t xml:space="preserve">, </w:t>
      </w:r>
      <w:r>
        <w:rPr>
          <w:rFonts w:cs="Tahoma" w:ascii="Tahoma" w:hAnsi="Tahoma"/>
          <w:sz w:val="20"/>
          <w:szCs w:val="20"/>
          <w:shd w:fill="auto" w:val="clear"/>
          <w:lang w:val="es-BO"/>
        </w:rPr>
        <w:t>del Servicio de Impuestos Nacionales</w:t>
      </w:r>
      <w:r>
        <w:rPr>
          <w:rFonts w:cs="Tahoma" w:ascii="Tahoma" w:hAnsi="Tahoma"/>
          <w:sz w:val="20"/>
          <w:szCs w:val="20"/>
          <w:shd w:fill="auto" w:val="clear"/>
        </w:rPr>
        <w:t xml:space="preserve"> ubicada </w:t>
      </w:r>
      <w:r>
        <w:rPr>
          <w:rFonts w:cs="Tahoma" w:ascii="Tahoma" w:hAnsi="Tahoma"/>
          <w:b w:val="false"/>
          <w:bCs w:val="false"/>
          <w:sz w:val="20"/>
          <w:szCs w:val="20"/>
          <w:shd w:fill="auto" w:val="clear"/>
        </w:rPr>
        <w:t>en la calle Arenales esquina calle Mariscal Santa Cruz, edificio Shopping Vizur 1er piso.</w:t>
      </w:r>
    </w:p>
    <w:p>
      <w:pPr>
        <w:pStyle w:val="NoSpacing"/>
        <w:ind w:hanging="0" w:left="284" w:right="0"/>
        <w:jc w:val="both"/>
        <w:rPr>
          <w:rFonts w:ascii="Tahoma" w:hAnsi="Tahoma" w:cs="Tahoma"/>
          <w:sz w:val="20"/>
          <w:szCs w:val="20"/>
          <w:shd w:fill="auto" w:val="clear"/>
        </w:rPr>
      </w:pPr>
      <w:r>
        <w:rPr>
          <w:rFonts w:cs="Tahoma" w:ascii="Tahoma" w:hAnsi="Tahoma"/>
          <w:sz w:val="20"/>
          <w:szCs w:val="20"/>
          <w:shd w:fill="auto" w:val="clear"/>
        </w:rPr>
      </w:r>
    </w:p>
    <w:p>
      <w:pPr>
        <w:pStyle w:val="NoSpacing"/>
        <w:ind w:hanging="0" w:left="284" w:right="0"/>
        <w:jc w:val="both"/>
        <w:rPr/>
      </w:pPr>
      <w:r>
        <w:rPr>
          <w:rFonts w:cs="Tahoma" w:ascii="Tahoma" w:hAnsi="Tahoma"/>
          <w:sz w:val="20"/>
          <w:szCs w:val="20"/>
          <w:shd w:fill="auto" w:val="clear"/>
          <w:lang w:val="es-MX"/>
        </w:rPr>
        <w:t>El horario de trabajo al que estará sujeto el consulto</w:t>
      </w:r>
      <w:r>
        <w:rPr>
          <w:rFonts w:cs="Tahoma" w:ascii="Tahoma" w:hAnsi="Tahoma"/>
          <w:sz w:val="20"/>
          <w:szCs w:val="20"/>
          <w:lang w:val="es-MX"/>
        </w:rPr>
        <w:t>r o consultora estará establecido por la Entidad; de lunes a viernes mismo que deberá cumplir las 8 horas laborales por día.</w:t>
      </w:r>
      <w:r>
        <w:rPr>
          <w:rFonts w:cs="Tahoma" w:ascii="Tahoma" w:hAnsi="Tahoma"/>
          <w:b/>
          <w:sz w:val="20"/>
          <w:szCs w:val="20"/>
          <w:lang w:val="es-MX"/>
        </w:rPr>
        <w:t xml:space="preserve"> </w:t>
      </w:r>
    </w:p>
    <w:p>
      <w:pPr>
        <w:pStyle w:val="NoSpacing"/>
        <w:ind w:hanging="0" w:left="284" w:right="0"/>
        <w:jc w:val="both"/>
        <w:rPr>
          <w:rFonts w:ascii="Tahoma" w:hAnsi="Tahoma" w:cs="Tahoma"/>
          <w:sz w:val="20"/>
          <w:szCs w:val="20"/>
          <w:lang w:val="es-MX"/>
        </w:rPr>
      </w:pPr>
      <w:r>
        <w:rPr>
          <w:rFonts w:cs="Tahoma" w:ascii="Tahoma" w:hAnsi="Tahoma"/>
          <w:sz w:val="20"/>
          <w:szCs w:val="20"/>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ademas, de manera mensual se controlará omisiones de marcado, inasistencia y ausencia de acuerdo a las cláusulas del contrato.</w:t>
      </w:r>
    </w:p>
    <w:p>
      <w:pPr>
        <w:pStyle w:val="NoSpacing"/>
        <w:ind w:hanging="0" w:left="284" w:right="0"/>
        <w:jc w:val="both"/>
        <w:rPr>
          <w:rFonts w:ascii="Tahoma" w:hAnsi="Tahoma" w:cs="Tahoma"/>
          <w:bCs/>
          <w:color w:val="000000"/>
          <w:sz w:val="20"/>
          <w:szCs w:val="20"/>
        </w:rPr>
      </w:pPr>
      <w:r>
        <w:rPr>
          <w:rFonts w:cs="Tahoma" w:ascii="Tahoma" w:hAnsi="Tahoma"/>
          <w:bCs/>
          <w:color w:val="000000"/>
          <w:sz w:val="20"/>
          <w:szCs w:val="20"/>
        </w:rPr>
      </w:r>
    </w:p>
    <w:p>
      <w:pPr>
        <w:pStyle w:val="NoSpacing"/>
        <w:ind w:hanging="0" w:left="284" w:right="0"/>
        <w:jc w:val="both"/>
        <w:rPr>
          <w:rFonts w:ascii="Tahoma" w:hAnsi="Tahoma" w:cs="Tahoma"/>
          <w:bCs/>
          <w:color w:val="000000"/>
          <w:sz w:val="20"/>
          <w:szCs w:val="20"/>
        </w:rPr>
      </w:pPr>
      <w:r>
        <w:rPr>
          <w:rFonts w:cs="Tahoma" w:ascii="Tahoma" w:hAnsi="Tahoma"/>
          <w:bCs/>
          <w:color w:val="000000"/>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Spacing"/>
        <w:ind w:hanging="0" w:left="284" w:right="0"/>
        <w:jc w:val="both"/>
        <w:rPr>
          <w:rFonts w:ascii="Tahoma" w:hAnsi="Tahoma" w:cs="Tahoma"/>
          <w:bCs/>
          <w:color w:val="000000"/>
          <w:sz w:val="20"/>
          <w:szCs w:val="20"/>
        </w:rPr>
      </w:pPr>
      <w:r>
        <w:rPr>
          <w:rFonts w:cs="Tahoma" w:ascii="Tahoma" w:hAnsi="Tahoma"/>
          <w:bCs/>
          <w:color w:val="000000"/>
          <w:sz w:val="20"/>
          <w:szCs w:val="20"/>
        </w:rPr>
      </w:r>
    </w:p>
    <w:p>
      <w:pPr>
        <w:pStyle w:val="NoSpacing"/>
        <w:ind w:hanging="0" w:left="284" w:right="0"/>
        <w:jc w:val="both"/>
        <w:rPr>
          <w:rFonts w:ascii="Tahoma" w:hAnsi="Tahoma" w:cs="Tahoma"/>
          <w:bCs/>
          <w:color w:val="000000"/>
          <w:sz w:val="20"/>
          <w:szCs w:val="20"/>
        </w:rPr>
      </w:pPr>
      <w:r>
        <w:rPr>
          <w:rFonts w:cs="Tahoma" w:ascii="Tahoma" w:hAnsi="Tahoma"/>
          <w:bCs/>
          <w:color w:val="000000"/>
          <w:sz w:val="20"/>
          <w:szCs w:val="20"/>
        </w:rPr>
        <w:t xml:space="preserve">En caso de que corresponda se podrá aplicar el Teletrabajo según lo establecido en el Decreto Supremo Nº 4570.  </w:t>
      </w:r>
    </w:p>
    <w:p>
      <w:pPr>
        <w:pStyle w:val="Normal"/>
        <w:ind w:hanging="0" w:left="284" w:right="0"/>
        <w:jc w:val="both"/>
        <w:rPr>
          <w:rFonts w:ascii="Tahoma" w:hAnsi="Tahoma" w:cs="Tahoma"/>
          <w:sz w:val="20"/>
          <w:szCs w:val="20"/>
          <w:lang w:val="es-ES"/>
        </w:rPr>
      </w:pPr>
      <w:r>
        <w:rPr>
          <w:rFonts w:cs="Tahoma" w:ascii="Tahoma" w:hAnsi="Tahoma"/>
          <w:sz w:val="20"/>
          <w:szCs w:val="20"/>
          <w:lang w:val="es-ES"/>
        </w:rPr>
      </w:r>
    </w:p>
    <w:p>
      <w:pPr>
        <w:pStyle w:val="Normal"/>
        <w:ind w:hanging="0" w:left="284" w:right="0"/>
        <w:jc w:val="both"/>
        <w:rPr>
          <w:rFonts w:ascii="Tahoma" w:hAnsi="Tahoma" w:cs="Tahoma"/>
          <w:sz w:val="20"/>
          <w:szCs w:val="20"/>
          <w:lang w:val="es-ES"/>
        </w:rPr>
      </w:pPr>
      <w:r>
        <w:rPr>
          <w:rFonts w:cs="Tahoma" w:ascii="Tahoma" w:hAnsi="Tahoma"/>
          <w:sz w:val="20"/>
          <w:szCs w:val="20"/>
          <w:lang w:val="es-ES"/>
        </w:rPr>
        <w:t>Las contrataciones se realizarán en base a las necesidades y seguimiento de la Gerencia y de acuerdo a lo establecido en el Decreto Supremo Nº 0181.</w:t>
      </w:r>
    </w:p>
    <w:p>
      <w:pPr>
        <w:pStyle w:val="Normal"/>
        <w:ind w:hanging="0" w:left="284" w:right="0"/>
        <w:jc w:val="both"/>
        <w:rPr>
          <w:rFonts w:ascii="Tahoma" w:hAnsi="Tahoma" w:cs="Tahoma"/>
          <w:sz w:val="20"/>
          <w:szCs w:val="20"/>
          <w:lang w:val="es-ES"/>
        </w:rPr>
      </w:pPr>
      <w:r>
        <w:rPr>
          <w:rFonts w:cs="Tahoma" w:ascii="Tahoma" w:hAnsi="Tahoma"/>
          <w:sz w:val="20"/>
          <w:szCs w:val="20"/>
          <w:lang w:val="es-ES"/>
        </w:rPr>
      </w:r>
    </w:p>
    <w:p>
      <w:pPr>
        <w:pStyle w:val="Normal"/>
        <w:ind w:hanging="0" w:left="284" w:right="0"/>
        <w:jc w:val="both"/>
        <w:rPr>
          <w:rFonts w:ascii="Tahoma" w:hAnsi="Tahoma" w:cs="Tahoma"/>
          <w:sz w:val="20"/>
          <w:szCs w:val="20"/>
          <w:lang w:val="es-ES"/>
        </w:rPr>
      </w:pPr>
      <w:r>
        <w:rPr>
          <w:rFonts w:cs="Tahoma" w:ascii="Tahoma" w:hAnsi="Tahoma"/>
          <w:sz w:val="20"/>
          <w:szCs w:val="20"/>
          <w:lang w:val="es-ES"/>
        </w:rPr>
        <w:t xml:space="preserve">El plazo para la prestación de la CONSULTORÍA, será a partir del día siguiente hábil a la suscripción del contrato </w:t>
      </w:r>
      <w:r>
        <w:rPr>
          <w:rFonts w:cs="Tahoma" w:ascii="Tahoma" w:hAnsi="Tahoma"/>
          <w:b/>
          <w:bCs/>
          <w:sz w:val="20"/>
          <w:szCs w:val="20"/>
          <w:lang w:val="es-ES"/>
        </w:rPr>
        <w:t>hasta el 31 de diciembre de 2026</w:t>
      </w:r>
      <w:r>
        <w:rPr>
          <w:rFonts w:cs="Tahoma" w:ascii="Tahoma" w:hAnsi="Tahoma"/>
          <w:sz w:val="20"/>
          <w:szCs w:val="20"/>
          <w:lang w:val="es-ES"/>
        </w:rPr>
        <w:t>.</w:t>
      </w:r>
    </w:p>
    <w:p>
      <w:pPr>
        <w:pStyle w:val="Normal"/>
        <w:ind w:hanging="0" w:left="284" w:right="0"/>
        <w:jc w:val="both"/>
        <w:rPr>
          <w:rFonts w:ascii="Tahoma" w:hAnsi="Tahoma" w:cs="Tahoma"/>
          <w:sz w:val="20"/>
          <w:szCs w:val="20"/>
          <w:lang w:val="es-ES"/>
        </w:rPr>
      </w:pPr>
      <w:r>
        <w:rPr>
          <w:rFonts w:cs="Tahoma" w:ascii="Tahoma" w:hAnsi="Tahoma"/>
          <w:sz w:val="20"/>
          <w:szCs w:val="20"/>
          <w:lang w:val="es-ES"/>
        </w:rPr>
      </w:r>
    </w:p>
    <w:p>
      <w:pPr>
        <w:pStyle w:val="Heading1"/>
        <w:keepNext w:val="false"/>
        <w:keepLines w:val="false"/>
        <w:numPr>
          <w:ilvl w:val="0"/>
          <w:numId w:val="1"/>
        </w:numPr>
        <w:pBdr>
          <w:bottom w:val="single" w:sz="12" w:space="1" w:color="365F91"/>
        </w:pBdr>
        <w:spacing w:before="6" w:after="6"/>
        <w:ind w:hanging="0" w:left="284" w:right="0"/>
        <w:jc w:val="both"/>
        <w:rPr>
          <w:rFonts w:ascii="Tahoma" w:hAnsi="Tahoma" w:cs="Tahoma"/>
          <w:sz w:val="20"/>
          <w:szCs w:val="20"/>
          <w:lang w:val="es-BO"/>
        </w:rPr>
      </w:pPr>
      <w:r>
        <w:rPr>
          <w:rFonts w:cs="Tahoma"/>
          <w:sz w:val="20"/>
          <w:szCs w:val="20"/>
          <w:lang w:val="es-BO"/>
        </w:rPr>
        <w:t>MONTO Y FORMA DE PAGO</w:t>
      </w:r>
    </w:p>
    <w:p>
      <w:pPr>
        <w:pStyle w:val="Normal"/>
        <w:rPr>
          <w:rFonts w:ascii="Tahoma" w:hAnsi="Tahoma" w:cs="Tahoma"/>
          <w:sz w:val="16"/>
          <w:szCs w:val="16"/>
          <w:lang w:val="es-BO"/>
        </w:rPr>
      </w:pPr>
      <w:r>
        <w:rPr>
          <w:rFonts w:cs="Tahoma" w:ascii="Tahoma" w:hAnsi="Tahoma"/>
          <w:sz w:val="16"/>
          <w:szCs w:val="16"/>
          <w:lang w:val="es-BO"/>
        </w:rPr>
      </w:r>
    </w:p>
    <w:p>
      <w:pPr>
        <w:pStyle w:val="Normal"/>
        <w:spacing w:before="120" w:after="120"/>
        <w:ind w:hanging="0" w:left="284" w:right="0"/>
        <w:jc w:val="both"/>
        <w:rPr/>
      </w:pPr>
      <w:r>
        <w:rPr>
          <w:rFonts w:cs="Tahoma" w:ascii="Tahoma" w:hAnsi="Tahoma"/>
          <w:color w:val="000000"/>
          <w:sz w:val="20"/>
          <w:szCs w:val="20"/>
          <w:shd w:fill="FFFFFF" w:val="clear"/>
        </w:rPr>
        <w:t>Por cada consultoría de línea se pagará en forma mensual el monto de </w:t>
      </w:r>
      <w:r>
        <w:rPr>
          <w:rFonts w:cs="Tahoma" w:ascii="Tahoma" w:hAnsi="Tahoma"/>
          <w:sz w:val="20"/>
          <w:szCs w:val="20"/>
          <w:lang w:val="es-BO"/>
        </w:rPr>
        <w:t xml:space="preserve">Bs7.318 (Siete mil trescientos dieciocho 00/100 bolivianos) </w:t>
      </w:r>
      <w:r>
        <w:rPr>
          <w:rFonts w:cs="Tahoma" w:ascii="Tahoma" w:hAnsi="Tahoma"/>
          <w:color w:val="000000"/>
          <w:sz w:val="20"/>
          <w:szCs w:val="20"/>
          <w:shd w:fill="FFFFFF" w:val="clear"/>
        </w:rPr>
        <w:t> que corresponde al cargo</w:t>
      </w:r>
      <w:r>
        <w:rPr>
          <w:rFonts w:cs="Tahoma" w:ascii="Tahoma" w:hAnsi="Tahoma"/>
          <w:sz w:val="20"/>
          <w:szCs w:val="20"/>
          <w:lang w:val="es-BO"/>
        </w:rPr>
        <w:t xml:space="preserve"> </w:t>
      </w:r>
      <w:r>
        <w:rPr>
          <w:rFonts w:cs="Tahoma" w:ascii="Tahoma" w:hAnsi="Tahoma"/>
          <w:b/>
          <w:bCs/>
          <w:sz w:val="20"/>
          <w:szCs w:val="20"/>
          <w:lang w:val="es-BO"/>
        </w:rPr>
        <w:t>CONSULTOR “J”</w:t>
      </w:r>
      <w:r>
        <w:rPr>
          <w:rFonts w:cs="Tahoma" w:ascii="Tahoma" w:hAnsi="Tahoma"/>
          <w:sz w:val="20"/>
          <w:szCs w:val="20"/>
          <w:lang w:val="es-BO"/>
        </w:rPr>
        <w:t xml:space="preserve"> </w:t>
      </w:r>
      <w:r>
        <w:rPr>
          <w:rFonts w:cs="Tahoma" w:ascii="Tahoma" w:hAnsi="Tahoma"/>
          <w:sz w:val="20"/>
          <w:szCs w:val="20"/>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lang w:eastAsia="es-ES_tradnl"/>
        </w:rPr>
        <w:t xml:space="preserve">aprobado y </w:t>
      </w:r>
      <w:r>
        <w:rPr>
          <w:rFonts w:eastAsia="Times New Roman"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ListParagraph"/>
        <w:spacing w:before="40" w:after="40"/>
        <w:ind w:hanging="0" w:left="284" w:right="0"/>
        <w:jc w:val="both"/>
        <w:rPr>
          <w:rFonts w:ascii="Tahoma" w:hAnsi="Tahoma" w:cs="Tahoma"/>
          <w:sz w:val="20"/>
          <w:szCs w:val="20"/>
          <w:lang w:val="es-BO"/>
        </w:rPr>
      </w:pPr>
      <w:r>
        <w:rPr>
          <w:rFonts w:cs="Tahoma" w:ascii="Tahoma" w:hAnsi="Tahoma"/>
          <w:sz w:val="20"/>
          <w:szCs w:val="20"/>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relación contractual.</w:t>
      </w:r>
    </w:p>
    <w:p>
      <w:pPr>
        <w:pStyle w:val="NoSpacing"/>
        <w:ind w:hanging="0" w:left="284" w:right="0"/>
        <w:jc w:val="both"/>
        <w:rPr>
          <w:rFonts w:ascii="Tahoma" w:hAnsi="Tahoma" w:cs="Tahoma"/>
          <w:sz w:val="16"/>
          <w:szCs w:val="16"/>
          <w:lang w:val="es-MX"/>
        </w:rPr>
      </w:pPr>
      <w:r>
        <w:rPr>
          <w:rFonts w:cs="Tahoma" w:ascii="Tahoma" w:hAnsi="Tahoma"/>
          <w:sz w:val="16"/>
          <w:szCs w:val="16"/>
          <w:lang w:val="es-MX"/>
        </w:rPr>
      </w:r>
    </w:p>
    <w:p>
      <w:pPr>
        <w:pStyle w:val="NoSpacing"/>
        <w:ind w:hanging="0" w:left="284" w:right="0"/>
        <w:jc w:val="both"/>
        <w:rPr>
          <w:rFonts w:ascii="Tahoma" w:hAnsi="Tahoma" w:cs="Tahoma"/>
          <w:sz w:val="20"/>
          <w:szCs w:val="20"/>
          <w:lang w:val="es-MX"/>
        </w:rPr>
      </w:pPr>
      <w:r>
        <w:rPr>
          <w:rFonts w:cs="Tahoma" w:ascii="Tahoma" w:hAnsi="Tahoma"/>
          <w:sz w:val="20"/>
          <w:szCs w:val="20"/>
          <w:lang w:val="es-MX"/>
        </w:rPr>
        <w:t>El pago que se efectivizará a través del Sistema de Gestión Pública (SIGEP), en moneda nacional directamente al consultor, mediante depósito bancario a su cuenta habilitada para dicho efecto.</w:t>
      </w:r>
    </w:p>
    <w:p>
      <w:pPr>
        <w:pStyle w:val="NoSpacing"/>
        <w:jc w:val="both"/>
        <w:rPr>
          <w:rFonts w:ascii="Tahoma" w:hAnsi="Tahoma" w:cs="Tahoma"/>
          <w:sz w:val="20"/>
          <w:szCs w:val="20"/>
          <w:lang w:val="es-MX"/>
        </w:rPr>
      </w:pPr>
      <w:r>
        <w:rPr>
          <w:rFonts w:cs="Tahoma" w:ascii="Tahoma" w:hAnsi="Tahoma"/>
          <w:sz w:val="20"/>
          <w:szCs w:val="20"/>
          <w:lang w:val="es-MX"/>
        </w:rPr>
      </w:r>
    </w:p>
    <w:p>
      <w:pPr>
        <w:pStyle w:val="Heading1"/>
        <w:keepNext w:val="false"/>
        <w:keepLines w:val="false"/>
        <w:numPr>
          <w:ilvl w:val="0"/>
          <w:numId w:val="1"/>
        </w:numPr>
        <w:pBdr>
          <w:bottom w:val="single" w:sz="12" w:space="1" w:color="365F91"/>
        </w:pBdr>
        <w:spacing w:before="6" w:after="6"/>
        <w:ind w:hanging="0" w:left="284" w:right="0"/>
        <w:jc w:val="both"/>
        <w:rPr>
          <w:rFonts w:ascii="Tahoma" w:hAnsi="Tahoma" w:cs="Tahoma"/>
          <w:sz w:val="20"/>
          <w:szCs w:val="20"/>
          <w:lang w:val="es-BO"/>
        </w:rPr>
      </w:pPr>
      <w:r>
        <w:rPr>
          <w:rFonts w:cs="Tahoma"/>
          <w:sz w:val="20"/>
          <w:szCs w:val="20"/>
          <w:lang w:val="es-BO"/>
        </w:rPr>
        <w:t>PAGO DE APORTES AL SISTEMA INTEGRAL DE PENSIONES E IMPUESTOS</w:t>
      </w:r>
    </w:p>
    <w:p>
      <w:pPr>
        <w:pStyle w:val="Normal"/>
        <w:ind w:hanging="0" w:left="426" w:right="0"/>
        <w:jc w:val="both"/>
        <w:rPr>
          <w:rFonts w:ascii="Tahoma" w:hAnsi="Tahoma" w:cs="Tahoma"/>
          <w:sz w:val="20"/>
          <w:szCs w:val="20"/>
          <w:lang w:val="es-BO"/>
        </w:rPr>
      </w:pPr>
      <w:r>
        <w:rPr>
          <w:rFonts w:cs="Tahoma" w:ascii="Tahoma" w:hAnsi="Tahoma"/>
          <w:sz w:val="20"/>
          <w:szCs w:val="20"/>
          <w:lang w:val="es-BO"/>
        </w:rPr>
      </w:r>
    </w:p>
    <w:p>
      <w:pPr>
        <w:pStyle w:val="Normal"/>
        <w:ind w:hanging="0" w:left="284" w:right="0"/>
        <w:jc w:val="both"/>
        <w:rPr>
          <w:rFonts w:ascii="Tahoma" w:hAnsi="Tahoma" w:cs="Tahoma"/>
          <w:sz w:val="20"/>
          <w:szCs w:val="20"/>
          <w:lang w:val="es-BO"/>
        </w:rPr>
      </w:pPr>
      <w:r>
        <w:rPr>
          <w:rFonts w:cs="Tahoma" w:ascii="Tahoma" w:hAnsi="Tahoma"/>
          <w:sz w:val="20"/>
          <w:szCs w:val="20"/>
          <w:lang w:val="es-BO"/>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pPr>
        <w:pStyle w:val="Normal"/>
        <w:ind w:hanging="0" w:left="284" w:right="0"/>
        <w:jc w:val="both"/>
        <w:rPr>
          <w:rFonts w:ascii="Tahoma" w:hAnsi="Tahoma" w:cs="Tahoma"/>
          <w:sz w:val="18"/>
          <w:szCs w:val="18"/>
          <w:lang w:val="es-BO"/>
        </w:rPr>
      </w:pPr>
      <w:r>
        <w:rPr>
          <w:rFonts w:cs="Tahoma" w:ascii="Tahoma" w:hAnsi="Tahoma"/>
          <w:sz w:val="18"/>
          <w:szCs w:val="18"/>
          <w:lang w:val="es-BO"/>
        </w:rPr>
      </w:r>
    </w:p>
    <w:p>
      <w:pPr>
        <w:pStyle w:val="ListParagraph"/>
        <w:ind w:hanging="0" w:left="284" w:right="0"/>
        <w:jc w:val="both"/>
        <w:rPr/>
      </w:pPr>
      <w:r>
        <w:rPr>
          <w:rStyle w:val="CharStyle9"/>
          <w:rFonts w:cs="Tahoma" w:ascii="Tahoma" w:hAnsi="Tahoma"/>
          <w:color w:val="000000"/>
          <w:lang w:eastAsia="es-ES_tradnl"/>
        </w:rPr>
        <w:t>El CONSULTOR deberá presentar el Certificado de Inscripción en el Régimen Complementario al Impuesto al Valor Agregado como Contribuyente Directo (RC-IVA), y una fotocopia de su declaración trimestral cuando corresponda.</w:t>
      </w:r>
    </w:p>
    <w:p>
      <w:pPr>
        <w:pStyle w:val="Normal"/>
        <w:ind w:hanging="0" w:left="284" w:right="0"/>
        <w:jc w:val="both"/>
        <w:rPr>
          <w:rFonts w:ascii="Tahoma" w:hAnsi="Tahoma" w:cs="Tahoma"/>
          <w:sz w:val="18"/>
          <w:szCs w:val="18"/>
          <w:lang w:val="es-BO"/>
        </w:rPr>
      </w:pPr>
      <w:r>
        <w:rPr>
          <w:rFonts w:cs="Tahoma" w:ascii="Tahoma" w:hAnsi="Tahoma"/>
          <w:sz w:val="18"/>
          <w:szCs w:val="18"/>
          <w:lang w:val="es-BO"/>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 xml:space="preserve">PROPIEDAD DE LOS MATERIALES Y ACUERDO DE CONFIDENCIALIDAD </w:t>
      </w:r>
    </w:p>
    <w:p>
      <w:pPr>
        <w:pStyle w:val="Normal"/>
        <w:ind w:hanging="0" w:left="426" w:right="0"/>
        <w:jc w:val="both"/>
        <w:rPr>
          <w:rFonts w:ascii="Tahoma" w:hAnsi="Tahoma" w:cs="Tahoma"/>
          <w:sz w:val="20"/>
          <w:lang w:val="es-BO"/>
        </w:rPr>
      </w:pPr>
      <w:r>
        <w:rPr>
          <w:rFonts w:cs="Tahoma" w:ascii="Tahoma" w:hAnsi="Tahoma"/>
          <w:sz w:val="20"/>
          <w:lang w:val="es-BO"/>
        </w:rPr>
      </w:r>
    </w:p>
    <w:p>
      <w:pPr>
        <w:pStyle w:val="Normal"/>
        <w:ind w:hanging="0" w:left="284" w:right="0"/>
        <w:jc w:val="both"/>
        <w:rPr>
          <w:rFonts w:ascii="Tahoma" w:hAnsi="Tahoma" w:cs="Tahoma"/>
          <w:sz w:val="20"/>
          <w:lang w:val="es-BO"/>
        </w:rPr>
      </w:pPr>
      <w:r>
        <w:rPr>
          <w:rFonts w:cs="Tahoma" w:ascii="Tahoma" w:hAnsi="Tahoma"/>
          <w:sz w:val="20"/>
          <w:lang w:val="es-BO"/>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w:t>
      </w:r>
    </w:p>
    <w:p>
      <w:pPr>
        <w:pStyle w:val="Normal"/>
        <w:ind w:hanging="0" w:left="284" w:right="0"/>
        <w:jc w:val="both"/>
        <w:rPr>
          <w:rFonts w:ascii="Tahoma" w:hAnsi="Tahoma" w:cs="Tahoma"/>
          <w:sz w:val="18"/>
          <w:szCs w:val="18"/>
          <w:lang w:val="es-BO"/>
        </w:rPr>
      </w:pPr>
      <w:r>
        <w:rPr>
          <w:rFonts w:cs="Tahoma" w:ascii="Tahoma" w:hAnsi="Tahoma"/>
          <w:sz w:val="18"/>
          <w:szCs w:val="18"/>
          <w:lang w:val="es-BO"/>
        </w:rPr>
      </w:r>
    </w:p>
    <w:p>
      <w:pPr>
        <w:pStyle w:val="Normal"/>
        <w:ind w:hanging="0" w:left="284" w:right="0"/>
        <w:jc w:val="both"/>
        <w:rPr/>
      </w:pPr>
      <w:r>
        <w:rPr>
          <w:rFonts w:cs="Tahoma" w:ascii="Tahoma" w:hAnsi="Tahoma"/>
          <w:sz w:val="20"/>
          <w:lang w:val="es-MX"/>
        </w:rPr>
        <w:t xml:space="preserve">Conforme a la normativa vigente, los consultores deberán preservar absoluta confidencialidad de la información y </w:t>
      </w:r>
      <w:r>
        <w:rPr>
          <w:rFonts w:cs="Tahoma" w:ascii="Tahoma" w:hAnsi="Tahoma"/>
          <w:sz w:val="20"/>
          <w:szCs w:val="20"/>
          <w:lang w:val="es-BO"/>
        </w:rPr>
        <w:t>documentación</w:t>
      </w:r>
      <w:r>
        <w:rPr>
          <w:rFonts w:cs="Tahoma" w:ascii="Tahoma" w:hAnsi="Tahoma"/>
          <w:sz w:val="20"/>
          <w:lang w:val="es-MX"/>
        </w:rPr>
        <w:t xml:space="preserve"> a su cargo, el incumplimiento generará aplicación de responsabilidades, de acuerdo a lo establecido en la Ley N° 1178 de 20 de Julio de 1990.</w:t>
      </w:r>
    </w:p>
    <w:p>
      <w:pPr>
        <w:pStyle w:val="Normal"/>
        <w:ind w:hanging="0" w:left="284" w:right="0"/>
        <w:jc w:val="both"/>
        <w:rPr>
          <w:rFonts w:ascii="Tahoma" w:hAnsi="Tahoma" w:cs="Tahoma"/>
          <w:sz w:val="18"/>
          <w:szCs w:val="18"/>
          <w:lang w:val="es-MX"/>
        </w:rPr>
      </w:pPr>
      <w:r>
        <w:rPr>
          <w:rFonts w:cs="Tahoma" w:ascii="Tahoma" w:hAnsi="Tahoma"/>
          <w:sz w:val="18"/>
          <w:szCs w:val="18"/>
          <w:lang w:val="es-MX"/>
        </w:rPr>
      </w:r>
    </w:p>
    <w:p>
      <w:pPr>
        <w:pStyle w:val="Normal"/>
        <w:ind w:hanging="0" w:left="284" w:right="0"/>
        <w:jc w:val="both"/>
        <w:rPr>
          <w:rFonts w:ascii="Tahoma" w:hAnsi="Tahoma" w:cs="Tahoma"/>
          <w:sz w:val="20"/>
          <w:lang w:val="es-MX"/>
        </w:rPr>
      </w:pPr>
      <w:r>
        <w:rPr>
          <w:rFonts w:cs="Tahoma" w:ascii="Tahoma" w:hAnsi="Tahoma"/>
          <w:sz w:val="20"/>
          <w:lang w:val="es-MX"/>
        </w:rPr>
        <w:t xml:space="preserve">Como política de Seguridad de la Información del SIN y como medida de control el CONSULTOR, deberá suscribir el formulario del acta de confidencialidad al momento de la formalización del contrato. </w:t>
      </w:r>
    </w:p>
    <w:p>
      <w:pPr>
        <w:pStyle w:val="Normal"/>
        <w:ind w:hanging="0" w:left="284" w:right="0"/>
        <w:jc w:val="both"/>
        <w:rPr>
          <w:rFonts w:ascii="Tahoma" w:hAnsi="Tahoma" w:cs="Tahoma"/>
          <w:sz w:val="16"/>
          <w:szCs w:val="16"/>
          <w:lang w:val="es-BO"/>
        </w:rPr>
      </w:pPr>
      <w:r>
        <w:rPr>
          <w:rFonts w:cs="Tahoma" w:ascii="Tahoma" w:hAnsi="Tahoma"/>
          <w:sz w:val="16"/>
          <w:szCs w:val="16"/>
          <w:lang w:val="es-BO"/>
        </w:rPr>
      </w:r>
    </w:p>
    <w:p>
      <w:pPr>
        <w:pStyle w:val="Heading1"/>
        <w:numPr>
          <w:ilvl w:val="0"/>
          <w:numId w:val="1"/>
        </w:numPr>
        <w:pBdr>
          <w:bottom w:val="single" w:sz="12" w:space="1" w:color="365F91"/>
        </w:pBdr>
        <w:spacing w:before="6" w:after="6"/>
        <w:ind w:hanging="0" w:left="284" w:right="0"/>
        <w:jc w:val="both"/>
        <w:rPr>
          <w:rFonts w:ascii="Tahoma" w:hAnsi="Tahoma" w:cs="Tahoma"/>
          <w:sz w:val="20"/>
          <w:szCs w:val="20"/>
          <w:lang w:val="es-BO"/>
        </w:rPr>
      </w:pPr>
      <w:r>
        <w:rPr>
          <w:rFonts w:cs="Tahoma"/>
          <w:sz w:val="20"/>
          <w:szCs w:val="20"/>
          <w:lang w:val="es-BO"/>
        </w:rPr>
        <w:t>PASAJES Y VIÁTICOS</w:t>
      </w:r>
    </w:p>
    <w:p>
      <w:pPr>
        <w:pStyle w:val="Normal"/>
        <w:ind w:hanging="0" w:left="426" w:right="0"/>
        <w:jc w:val="both"/>
        <w:rPr>
          <w:rFonts w:ascii="Tahoma" w:hAnsi="Tahoma" w:cs="Tahoma"/>
          <w:sz w:val="18"/>
          <w:szCs w:val="18"/>
          <w:lang w:val="es-MX"/>
        </w:rPr>
      </w:pPr>
      <w:r>
        <w:rPr>
          <w:rFonts w:cs="Tahoma" w:ascii="Tahoma" w:hAnsi="Tahoma"/>
          <w:sz w:val="18"/>
          <w:szCs w:val="18"/>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la entidad contratante de acuerdo a normativa vigente.</w:t>
      </w:r>
    </w:p>
    <w:p>
      <w:pPr>
        <w:pStyle w:val="Normal"/>
        <w:ind w:hanging="0" w:left="284" w:right="0"/>
        <w:jc w:val="both"/>
        <w:rPr>
          <w:rFonts w:ascii="Tahoma" w:hAnsi="Tahoma" w:cs="Tahoma"/>
          <w:sz w:val="18"/>
          <w:szCs w:val="18"/>
          <w:lang w:val="es-MX"/>
        </w:rPr>
      </w:pPr>
      <w:r>
        <w:rPr>
          <w:rFonts w:cs="Tahoma" w:ascii="Tahoma" w:hAnsi="Tahoma"/>
          <w:sz w:val="18"/>
          <w:szCs w:val="18"/>
          <w:lang w:val="es-MX"/>
        </w:rPr>
      </w:r>
    </w:p>
    <w:p>
      <w:pPr>
        <w:pStyle w:val="Heading1"/>
        <w:keepNext w:val="false"/>
        <w:keepLines w:val="false"/>
        <w:numPr>
          <w:ilvl w:val="0"/>
          <w:numId w:val="1"/>
        </w:numPr>
        <w:pBdr>
          <w:bottom w:val="single" w:sz="12" w:space="1" w:color="365F91"/>
        </w:pBdr>
        <w:spacing w:before="6" w:after="6"/>
        <w:ind w:hanging="0" w:left="284" w:right="0"/>
        <w:jc w:val="both"/>
        <w:rPr>
          <w:rFonts w:ascii="Tahoma" w:hAnsi="Tahoma" w:cs="Tahoma"/>
          <w:sz w:val="20"/>
          <w:szCs w:val="20"/>
          <w:lang w:val="es-BO"/>
        </w:rPr>
      </w:pPr>
      <w:r>
        <w:rPr>
          <w:rFonts w:cs="Tahoma"/>
          <w:sz w:val="20"/>
          <w:szCs w:val="20"/>
          <w:lang w:val="es-BO"/>
        </w:rPr>
        <w:t>RESPONSABILIDAD DE LA CONSULTORÍA</w:t>
      </w:r>
    </w:p>
    <w:p>
      <w:pPr>
        <w:pStyle w:val="NoSpacing"/>
        <w:ind w:hanging="0" w:left="284" w:right="0"/>
        <w:jc w:val="both"/>
        <w:rPr>
          <w:rFonts w:ascii="Tahoma" w:hAnsi="Tahoma" w:cs="Tahoma"/>
          <w:sz w:val="20"/>
          <w:szCs w:val="20"/>
        </w:rPr>
      </w:pPr>
      <w:r>
        <w:rPr>
          <w:rFonts w:cs="Tahoma" w:ascii="Tahoma" w:hAnsi="Tahoma"/>
          <w:sz w:val="20"/>
          <w:szCs w:val="20"/>
        </w:rPr>
      </w:r>
    </w:p>
    <w:p>
      <w:pPr>
        <w:pStyle w:val="NoSpacing"/>
        <w:ind w:hanging="0" w:left="284" w:right="0"/>
        <w:jc w:val="both"/>
        <w:rPr>
          <w:rFonts w:ascii="Tahoma" w:hAnsi="Tahoma" w:cs="Tahoma"/>
          <w:sz w:val="20"/>
          <w:szCs w:val="20"/>
        </w:rPr>
      </w:pPr>
      <w:r>
        <w:rPr>
          <w:rFonts w:cs="Tahoma" w:ascii="Tahoma" w:hAnsi="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esta sujeto a responsabilidades por la función pública en los aspectos que corresponda de acuerdo a lo establecido en el Articulo 31 y Artículo 34 de la Ley N° 1178 y Artículo 5 de la Ley 004, incluso una vez finalizada su relación contractual.</w:t>
      </w:r>
    </w:p>
    <w:p>
      <w:pPr>
        <w:pStyle w:val="NoSpacing"/>
        <w:ind w:hanging="0" w:left="284" w:right="0"/>
        <w:jc w:val="both"/>
        <w:rPr>
          <w:rFonts w:ascii="Tahoma" w:hAnsi="Tahoma" w:cs="Tahoma"/>
          <w:sz w:val="18"/>
          <w:szCs w:val="18"/>
        </w:rPr>
      </w:pPr>
      <w:r>
        <w:rPr>
          <w:rFonts w:cs="Tahoma" w:ascii="Tahoma" w:hAnsi="Tahoma"/>
          <w:sz w:val="18"/>
          <w:szCs w:val="18"/>
        </w:rPr>
      </w:r>
    </w:p>
    <w:p>
      <w:pPr>
        <w:pStyle w:val="NoSpacing"/>
        <w:ind w:hanging="0" w:left="284" w:right="0"/>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hanging="0" w:left="284" w:right="0"/>
        <w:jc w:val="both"/>
        <w:rPr>
          <w:rFonts w:ascii="Tahoma" w:hAnsi="Tahoma" w:cs="Tahoma"/>
          <w:sz w:val="18"/>
          <w:szCs w:val="18"/>
        </w:rPr>
      </w:pPr>
      <w:r>
        <w:rPr>
          <w:rFonts w:cs="Tahoma" w:ascii="Tahoma" w:hAnsi="Tahoma"/>
          <w:sz w:val="18"/>
          <w:szCs w:val="18"/>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DOBLE PERCEPCIÓN</w:t>
      </w:r>
    </w:p>
    <w:p>
      <w:pPr>
        <w:pStyle w:val="Normal"/>
        <w:ind w:hanging="0" w:left="284" w:right="0"/>
        <w:jc w:val="both"/>
        <w:rPr>
          <w:rFonts w:ascii="Tahoma" w:hAnsi="Tahoma" w:cs="Tahoma"/>
          <w:sz w:val="18"/>
          <w:szCs w:val="18"/>
          <w:lang w:val="es-MX"/>
        </w:rPr>
      </w:pPr>
      <w:r>
        <w:rPr>
          <w:rFonts w:cs="Tahoma" w:ascii="Tahoma" w:hAnsi="Tahoma"/>
          <w:sz w:val="18"/>
          <w:szCs w:val="18"/>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pPr>
        <w:pStyle w:val="Normal"/>
        <w:ind w:hanging="0" w:left="284" w:right="0"/>
        <w:jc w:val="both"/>
        <w:rPr>
          <w:rFonts w:ascii="Tahoma" w:hAnsi="Tahoma" w:cs="Tahoma"/>
          <w:sz w:val="20"/>
          <w:szCs w:val="20"/>
          <w:lang w:val="es-MX"/>
        </w:rPr>
      </w:pPr>
      <w:r>
        <w:rPr>
          <w:rFonts w:cs="Tahoma" w:ascii="Tahoma" w:hAnsi="Tahoma"/>
          <w:sz w:val="20"/>
          <w:szCs w:val="20"/>
          <w:lang w:val="es-MX"/>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CERTIFICACIÓN DE NO VIOLENCIA LEY N° 348 Y N° 1153</w:t>
      </w:r>
    </w:p>
    <w:p>
      <w:pPr>
        <w:pStyle w:val="Normal"/>
        <w:ind w:hanging="0" w:left="426" w:right="0"/>
        <w:jc w:val="both"/>
        <w:rPr>
          <w:rFonts w:ascii="Tahoma" w:hAnsi="Tahoma" w:cs="Tahoma"/>
          <w:sz w:val="16"/>
          <w:szCs w:val="16"/>
          <w:lang w:val="es-MX"/>
        </w:rPr>
      </w:pPr>
      <w:r>
        <w:rPr>
          <w:rFonts w:cs="Tahoma" w:ascii="Tahoma" w:hAnsi="Tahoma"/>
          <w:sz w:val="16"/>
          <w:szCs w:val="16"/>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ind w:hanging="0" w:left="284" w:right="0"/>
        <w:jc w:val="both"/>
        <w:rPr>
          <w:rFonts w:ascii="Tahoma" w:hAnsi="Tahoma" w:cs="Tahoma"/>
          <w:sz w:val="18"/>
          <w:szCs w:val="18"/>
          <w:lang w:val="es-MX"/>
        </w:rPr>
      </w:pPr>
      <w:r>
        <w:rPr>
          <w:rFonts w:cs="Tahoma" w:ascii="Tahoma" w:hAnsi="Tahoma"/>
          <w:sz w:val="18"/>
          <w:szCs w:val="18"/>
          <w:lang w:val="es-MX"/>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REGISTRO PÚBLICO DE LA ABOGACÍA</w:t>
      </w:r>
    </w:p>
    <w:p>
      <w:pPr>
        <w:pStyle w:val="Normal"/>
        <w:ind w:hanging="0" w:left="426" w:right="0"/>
        <w:jc w:val="both"/>
        <w:rPr>
          <w:rFonts w:ascii="Tahoma" w:hAnsi="Tahoma" w:cs="Tahoma"/>
          <w:sz w:val="18"/>
          <w:szCs w:val="18"/>
          <w:lang w:val="es-MX"/>
        </w:rPr>
      </w:pPr>
      <w:r>
        <w:rPr>
          <w:rFonts w:cs="Tahoma" w:ascii="Tahoma" w:hAnsi="Tahoma"/>
          <w:sz w:val="18"/>
          <w:szCs w:val="18"/>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En cumplimiento de la Ley N° 387 del Ejercicio de la Abogacía de 9 de julio de 2013, Decreto Supremo Nº 1760 de 9 de octubre de 2013 y Reglamento a la Ley del Ejercicio de la Abogacía; el proponente adjudicado que sea de profesión abogado para la formalización de la contratación está obligado a presentar en fotocopia sim</w:t>
      </w:r>
      <w:r>
        <w:rPr>
          <w:rFonts w:cs="Tahoma" w:ascii="Tahoma" w:hAnsi="Tahoma"/>
          <w:sz w:val="20"/>
          <w:szCs w:val="20"/>
          <w:shd w:fill="auto" w:val="clear"/>
          <w:lang w:val="es-MX"/>
        </w:rPr>
        <w:t>ple la Matrícula RPA vigente, emitida</w:t>
      </w:r>
      <w:r>
        <w:rPr>
          <w:rFonts w:cs="Tahoma" w:ascii="Tahoma" w:hAnsi="Tahoma"/>
          <w:sz w:val="20"/>
          <w:szCs w:val="20"/>
          <w:lang w:val="es-MX"/>
        </w:rPr>
        <w:t xml:space="preserve"> por el Ministerio de Justicia y Transparencia Institucional.</w:t>
      </w:r>
    </w:p>
    <w:p>
      <w:pPr>
        <w:pStyle w:val="Normal"/>
        <w:ind w:hanging="0" w:left="426" w:right="0"/>
        <w:jc w:val="both"/>
        <w:rPr>
          <w:rFonts w:ascii="Tahoma" w:hAnsi="Tahoma" w:cs="Tahoma"/>
          <w:sz w:val="18"/>
          <w:szCs w:val="18"/>
          <w:lang w:val="es-MX"/>
        </w:rPr>
      </w:pPr>
      <w:r>
        <w:rPr>
          <w:rFonts w:cs="Tahoma" w:ascii="Tahoma" w:hAnsi="Tahoma"/>
          <w:sz w:val="18"/>
          <w:szCs w:val="18"/>
          <w:lang w:val="es-MX"/>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CÓDIGO DE ÉTICA</w:t>
      </w:r>
    </w:p>
    <w:p>
      <w:pPr>
        <w:pStyle w:val="Normal"/>
        <w:ind w:hanging="0" w:left="426" w:right="0"/>
        <w:jc w:val="both"/>
        <w:rPr>
          <w:rFonts w:ascii="Tahoma" w:hAnsi="Tahoma" w:cs="Tahoma"/>
          <w:sz w:val="20"/>
          <w:lang w:val="es-MX"/>
        </w:rPr>
      </w:pPr>
      <w:r>
        <w:rPr>
          <w:rFonts w:cs="Tahoma" w:ascii="Tahoma" w:hAnsi="Tahoma"/>
          <w:sz w:val="20"/>
          <w:lang w:val="es-MX"/>
        </w:rPr>
      </w:r>
    </w:p>
    <w:p>
      <w:pPr>
        <w:pStyle w:val="Normal"/>
        <w:ind w:hanging="0" w:left="284" w:right="0"/>
        <w:jc w:val="both"/>
        <w:rPr>
          <w:rFonts w:ascii="Tahoma" w:hAnsi="Tahoma" w:cs="Tahoma"/>
          <w:sz w:val="20"/>
          <w:lang w:val="es-MX"/>
        </w:rPr>
      </w:pPr>
      <w:r>
        <w:rPr>
          <w:rFonts w:cs="Tahoma" w:ascii="Tahoma" w:hAnsi="Tahoma"/>
          <w:sz w:val="20"/>
          <w:lang w:val="es-MX"/>
        </w:rPr>
        <w:t>El CONSULTOR, al momento de la formalización del contrato, deberá suscribir el formulario de declaración de adhesión, compromiso y cumplimiento al Código de Ética del SIN.</w:t>
      </w:r>
    </w:p>
    <w:p>
      <w:pPr>
        <w:pStyle w:val="Normal"/>
        <w:ind w:hanging="0" w:left="426" w:right="0"/>
        <w:jc w:val="both"/>
        <w:rPr>
          <w:rFonts w:ascii="Tahoma" w:hAnsi="Tahoma" w:cs="Tahoma"/>
          <w:sz w:val="18"/>
          <w:szCs w:val="18"/>
          <w:lang w:val="es-MX"/>
        </w:rPr>
      </w:pPr>
      <w:r>
        <w:rPr>
          <w:rFonts w:cs="Tahoma" w:ascii="Tahoma" w:hAnsi="Tahoma"/>
          <w:sz w:val="18"/>
          <w:szCs w:val="18"/>
          <w:lang w:val="es-MX"/>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CIUDADANÍA DIGITAL</w:t>
      </w:r>
    </w:p>
    <w:p>
      <w:pPr>
        <w:pStyle w:val="Normal"/>
        <w:numPr>
          <w:ilvl w:val="0"/>
          <w:numId w:val="0"/>
        </w:numPr>
        <w:ind w:hanging="0" w:left="0" w:right="0"/>
        <w:jc w:val="both"/>
        <w:rPr>
          <w:rFonts w:ascii="Tahoma" w:hAnsi="Tahoma" w:cs="Tahoma"/>
          <w:sz w:val="20"/>
          <w:lang w:val="es-MX"/>
        </w:rPr>
      </w:pPr>
      <w:r>
        <w:rPr>
          <w:rFonts w:cs="Tahoma" w:ascii="Tahoma" w:hAnsi="Tahoma"/>
          <w:sz w:val="20"/>
          <w:lang w:val="es-MX"/>
        </w:rPr>
      </w:r>
    </w:p>
    <w:p>
      <w:pPr>
        <w:pStyle w:val="Normal"/>
        <w:pBdr>
          <w:bottom w:val="single" w:sz="12" w:space="1" w:color="365F91"/>
        </w:pBdr>
        <w:spacing w:before="0" w:after="0"/>
        <w:ind w:hanging="0" w:left="284" w:right="0"/>
        <w:jc w:val="both"/>
        <w:rPr>
          <w:rFonts w:ascii="Tahoma" w:hAnsi="Tahoma" w:cs="Tahoma"/>
          <w:sz w:val="20"/>
          <w:szCs w:val="20"/>
          <w:lang w:val="es-BO"/>
        </w:rPr>
      </w:pPr>
      <w:r>
        <w:rPr>
          <w:rFonts w:cs="Tahoma" w:ascii="Tahoma" w:hAnsi="Tahoma"/>
          <w:sz w:val="20"/>
          <w:szCs w:val="20"/>
          <w:lang w:val="es-BO"/>
        </w:rPr>
        <w:t>El consultor, para la formalización del contrato, deberá presentar su registro en Ciudadanía Digital, en cumplimiento al articulo 4 de la Ley 1451 del 15 de agosto de 2022.</w:t>
      </w:r>
    </w:p>
    <w:p>
      <w:pPr>
        <w:pStyle w:val="Normal"/>
        <w:pBdr>
          <w:bottom w:val="single" w:sz="12" w:space="1" w:color="365F91"/>
        </w:pBdr>
        <w:spacing w:before="0" w:after="0"/>
        <w:ind w:hanging="0" w:left="284" w:right="0"/>
        <w:jc w:val="both"/>
        <w:rPr>
          <w:rFonts w:ascii="Tahoma" w:hAnsi="Tahoma" w:cs="Tahoma"/>
          <w:sz w:val="20"/>
          <w:szCs w:val="20"/>
          <w:lang w:val="es-BO"/>
        </w:rPr>
      </w:pPr>
      <w:r>
        <w:rPr>
          <w:rFonts w:cs="Tahoma" w:ascii="Tahoma" w:hAnsi="Tahoma"/>
          <w:sz w:val="20"/>
          <w:szCs w:val="20"/>
          <w:lang w:val="es-BO"/>
        </w:rPr>
      </w:r>
    </w:p>
    <w:p>
      <w:pPr>
        <w:pStyle w:val="Heading1"/>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PERFIL REQUERIDO DEL CONSULTOR</w:t>
      </w:r>
    </w:p>
    <w:p>
      <w:pPr>
        <w:pStyle w:val="Normal"/>
        <w:ind w:hanging="0" w:left="284" w:right="0"/>
        <w:jc w:val="both"/>
        <w:rPr>
          <w:rFonts w:ascii="Tahoma" w:hAnsi="Tahoma" w:cs="Tahoma"/>
          <w:sz w:val="20"/>
          <w:szCs w:val="20"/>
          <w:lang w:val="es-MX"/>
        </w:rPr>
      </w:pPr>
      <w:r>
        <w:rPr>
          <w:rFonts w:cs="Tahoma" w:ascii="Tahoma" w:hAnsi="Tahoma"/>
          <w:sz w:val="20"/>
          <w:szCs w:val="20"/>
          <w:lang w:val="es-MX"/>
        </w:rPr>
      </w:r>
    </w:p>
    <w:p>
      <w:pPr>
        <w:pStyle w:val="Normal"/>
        <w:ind w:hanging="0" w:left="284" w:right="0"/>
        <w:jc w:val="both"/>
        <w:rPr>
          <w:rFonts w:ascii="Tahoma" w:hAnsi="Tahoma" w:cs="Tahoma"/>
          <w:sz w:val="20"/>
          <w:szCs w:val="20"/>
          <w:lang w:val="es-MX"/>
        </w:rPr>
      </w:pPr>
      <w:r>
        <w:rPr>
          <w:rFonts w:cs="Tahoma" w:ascii="Tahoma" w:hAnsi="Tahoma"/>
          <w:sz w:val="20"/>
          <w:szCs w:val="20"/>
          <w:lang w:val="es-MX"/>
        </w:rPr>
        <w:t>El consultor deberá tener el siguiente perfil:</w:t>
      </w:r>
    </w:p>
    <w:p>
      <w:pPr>
        <w:pStyle w:val="Normal"/>
        <w:ind w:hanging="0" w:left="284" w:right="0"/>
        <w:jc w:val="both"/>
        <w:rPr>
          <w:rFonts w:ascii="Tahoma" w:hAnsi="Tahoma" w:cs="Tahoma"/>
          <w:sz w:val="20"/>
          <w:szCs w:val="20"/>
          <w:lang w:val="es-MX"/>
        </w:rPr>
      </w:pPr>
      <w:r>
        <w:rPr>
          <w:rFonts w:cs="Tahoma" w:ascii="Tahoma" w:hAnsi="Tahoma"/>
          <w:sz w:val="20"/>
          <w:szCs w:val="20"/>
          <w:lang w:val="es-MX"/>
        </w:rPr>
      </w:r>
    </w:p>
    <w:p>
      <w:pPr>
        <w:pStyle w:val="ListParagraph"/>
        <w:numPr>
          <w:ilvl w:val="0"/>
          <w:numId w:val="0"/>
        </w:numPr>
        <w:suppressAutoHyphens w:val="false"/>
        <w:spacing w:before="0" w:after="0"/>
        <w:ind w:hanging="0" w:left="284" w:right="-138"/>
        <w:jc w:val="both"/>
        <w:rPr/>
      </w:pPr>
      <w:r>
        <w:rPr>
          <w:rFonts w:cs="Tahoma" w:ascii="Tahoma" w:hAnsi="Tahoma"/>
          <w:b/>
          <w:lang w:val="es-ES_tradnl"/>
        </w:rPr>
        <w:t>21.1 FORMACIÓN ACADÉMICA REQUISITO MÍNIMO HABILITANTE (35 puntos)</w:t>
      </w:r>
    </w:p>
    <w:p>
      <w:pPr>
        <w:pStyle w:val="ListParagraph"/>
        <w:numPr>
          <w:ilvl w:val="0"/>
          <w:numId w:val="0"/>
        </w:numPr>
        <w:suppressAutoHyphens w:val="false"/>
        <w:spacing w:before="0" w:after="0"/>
        <w:ind w:hanging="0" w:left="284" w:right="-138"/>
        <w:jc w:val="both"/>
        <w:rPr>
          <w:rFonts w:ascii="Tahoma" w:hAnsi="Tahoma" w:cs="Tahoma"/>
          <w:b/>
          <w:lang w:val="es-ES_tradnl"/>
        </w:rPr>
      </w:pPr>
      <w:r>
        <w:rPr>
          <w:rFonts w:cs="Tahoma" w:ascii="Tahoma" w:hAnsi="Tahoma"/>
          <w:b/>
          <w:lang w:val="es-ES_tradnl"/>
        </w:rPr>
      </w:r>
    </w:p>
    <w:p>
      <w:pPr>
        <w:pStyle w:val="Normal"/>
        <w:widowControl/>
        <w:suppressAutoHyphens w:val="true"/>
        <w:bidi w:val="0"/>
        <w:spacing w:lineRule="auto" w:line="240"/>
        <w:ind w:hanging="0" w:left="283" w:right="0"/>
        <w:jc w:val="both"/>
        <w:rPr>
          <w:rFonts w:ascii="Tahoma" w:hAnsi="Tahoma" w:eastAsia="Times New Roman" w:cs="Tahoma"/>
          <w:color w:val="000000"/>
          <w:sz w:val="20"/>
          <w:szCs w:val="20"/>
          <w:lang w:val="es-BO" w:eastAsia="es-ES"/>
        </w:rPr>
      </w:pPr>
      <w:r>
        <w:rPr>
          <w:rFonts w:eastAsia="Times New Roman" w:cs="Tahoma" w:ascii="Tahoma" w:hAnsi="Tahoma"/>
          <w:color w:val="000000"/>
          <w:sz w:val="20"/>
          <w:szCs w:val="20"/>
          <w:lang w:val="es-BO" w:eastAsia="es-ES"/>
        </w:rPr>
        <w:t>Profesional a nivel de Licenciatura con Título en Provisión Nacional de la carrera del Área de Ciencias Económicas, Financieras, Auditoría o Contaduría Pública y/o Ciencias Jurídicas.</w:t>
      </w:r>
    </w:p>
    <w:p>
      <w:pPr>
        <w:pStyle w:val="Normal"/>
        <w:widowControl/>
        <w:suppressAutoHyphens w:val="true"/>
        <w:bidi w:val="0"/>
        <w:ind w:hanging="0" w:left="283" w:right="0"/>
        <w:rPr>
          <w:rFonts w:ascii="Tahoma" w:hAnsi="Tahoma" w:eastAsia="Times New Roman" w:cs="Tahoma"/>
          <w:color w:val="000000"/>
          <w:sz w:val="12"/>
          <w:szCs w:val="12"/>
          <w:lang w:val="es-BO" w:eastAsia="es-ES"/>
        </w:rPr>
      </w:pPr>
      <w:r>
        <w:rPr>
          <w:rFonts w:eastAsia="Times New Roman" w:cs="Tahoma" w:ascii="Tahoma" w:hAnsi="Tahoma"/>
          <w:color w:val="000000"/>
          <w:sz w:val="12"/>
          <w:szCs w:val="12"/>
          <w:lang w:val="es-BO" w:eastAsia="es-ES"/>
        </w:rPr>
      </w:r>
    </w:p>
    <w:p>
      <w:pPr>
        <w:pStyle w:val="Heading1"/>
        <w:keepNext w:val="false"/>
        <w:keepLines w:val="false"/>
        <w:numPr>
          <w:ilvl w:val="0"/>
          <w:numId w:val="0"/>
        </w:numPr>
        <w:pBdr>
          <w:bottom w:val="single" w:sz="12" w:space="1" w:color="365F91"/>
        </w:pBdr>
        <w:spacing w:before="120" w:after="120"/>
        <w:ind w:hanging="0" w:left="284" w:right="0"/>
        <w:jc w:val="both"/>
        <w:rPr>
          <w:rFonts w:ascii="Tahoma" w:hAnsi="Tahoma" w:cs="Tahoma"/>
          <w:lang w:val="es-BO"/>
        </w:rPr>
      </w:pPr>
      <w:r>
        <w:rPr>
          <w:rFonts w:cs="Tahoma"/>
          <w:color w:val="000000"/>
          <w:sz w:val="20"/>
          <w:szCs w:val="20"/>
          <w:shd w:fill="auto" w:val="clear"/>
          <w:lang w:val="es-BO"/>
        </w:rPr>
        <w:t>21.2 CONDICIONES ADICIONALES (35 PUNTOS)</w:t>
      </w:r>
    </w:p>
    <w:tbl>
      <w:tblPr>
        <w:tblW w:w="9315" w:type="dxa"/>
        <w:jc w:val="left"/>
        <w:tblInd w:w="508" w:type="dxa"/>
        <w:tblLayout w:type="fixed"/>
        <w:tblCellMar>
          <w:top w:w="0" w:type="dxa"/>
          <w:left w:w="108" w:type="dxa"/>
          <w:bottom w:w="0" w:type="dxa"/>
          <w:right w:w="108" w:type="dxa"/>
        </w:tblCellMar>
      </w:tblPr>
      <w:tblGrid>
        <w:gridCol w:w="3006"/>
        <w:gridCol w:w="3737"/>
        <w:gridCol w:w="953"/>
        <w:gridCol w:w="1618"/>
      </w:tblGrid>
      <w:tr>
        <w:trPr>
          <w:trHeight w:val="340" w:hRule="atLeast"/>
        </w:trPr>
        <w:tc>
          <w:tcPr>
            <w:tcW w:w="7696" w:type="dxa"/>
            <w:gridSpan w:val="3"/>
            <w:tcBorders>
              <w:top w:val="single" w:sz="4" w:space="0" w:color="000000"/>
              <w:left w:val="single" w:sz="4" w:space="0" w:color="000000"/>
              <w:bottom w:val="single" w:sz="4" w:space="0" w:color="000000"/>
              <w:right w:val="single" w:sz="4" w:space="0" w:color="000000"/>
            </w:tcBorders>
            <w:shd w:fill="336699" w:val="clear"/>
            <w:vAlign w:val="center"/>
          </w:tcPr>
          <w:p>
            <w:pPr>
              <w:pStyle w:val="Standard1"/>
              <w:jc w:val="center"/>
              <w:rPr>
                <w:rFonts w:ascii="Tahoma" w:hAnsi="Tahoma" w:cs="Tahoma"/>
                <w:b/>
                <w:color w:val="FFFFFF"/>
                <w:sz w:val="16"/>
                <w:szCs w:val="16"/>
              </w:rPr>
            </w:pPr>
            <w:r>
              <w:rPr>
                <w:rFonts w:cs="Tahoma" w:ascii="Tahoma" w:hAnsi="Tahoma"/>
                <w:b/>
                <w:color w:val="FFFFFF"/>
                <w:sz w:val="16"/>
                <w:szCs w:val="16"/>
              </w:rPr>
              <w:t>CONDICIONES ADICIONALES SOLICITADAS</w:t>
            </w:r>
          </w:p>
        </w:tc>
        <w:tc>
          <w:tcPr>
            <w:tcW w:w="1618"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Standard1"/>
              <w:jc w:val="center"/>
              <w:rPr>
                <w:rFonts w:ascii="Tahoma" w:hAnsi="Tahoma" w:cs="Tahoma"/>
                <w:b/>
                <w:sz w:val="16"/>
                <w:szCs w:val="16"/>
                <w:lang w:val="es-BO"/>
              </w:rPr>
            </w:pPr>
            <w:r>
              <w:rPr>
                <w:rFonts w:cs="Tahoma" w:ascii="Tahoma" w:hAnsi="Tahoma"/>
                <w:b/>
                <w:sz w:val="16"/>
                <w:szCs w:val="16"/>
                <w:lang w:val="es-BO"/>
              </w:rPr>
              <w:t>Para ser llenado por el proponente al momento de elaborar su propuesta</w:t>
            </w:r>
          </w:p>
        </w:tc>
      </w:tr>
      <w:tr>
        <w:trPr>
          <w:trHeight w:val="296" w:hRule="atLeast"/>
        </w:trPr>
        <w:tc>
          <w:tcPr>
            <w:tcW w:w="6743" w:type="dxa"/>
            <w:gridSpan w:val="2"/>
            <w:tcBorders>
              <w:top w:val="single" w:sz="4" w:space="0" w:color="000000"/>
              <w:left w:val="single" w:sz="4" w:space="0" w:color="000000"/>
              <w:bottom w:val="single" w:sz="4" w:space="0" w:color="000000"/>
              <w:right w:val="single" w:sz="4" w:space="0" w:color="000000"/>
            </w:tcBorders>
            <w:shd w:fill="DBE5F1" w:val="clear"/>
            <w:vAlign w:val="center"/>
          </w:tcPr>
          <w:p>
            <w:pPr>
              <w:pStyle w:val="Standard1"/>
              <w:jc w:val="center"/>
              <w:rPr>
                <w:rFonts w:ascii="Tahoma" w:hAnsi="Tahoma" w:cs="Tahoma"/>
                <w:b/>
                <w:sz w:val="16"/>
                <w:szCs w:val="16"/>
                <w:lang w:val="es-BO"/>
              </w:rPr>
            </w:pPr>
            <w:r>
              <w:rPr>
                <w:rFonts w:cs="Tahoma" w:ascii="Tahoma" w:hAnsi="Tahoma"/>
                <w:b/>
                <w:sz w:val="16"/>
                <w:szCs w:val="16"/>
                <w:lang w:val="es-BO"/>
              </w:rPr>
              <w:t>Condiciones Adicionales a ser evaluadas</w:t>
            </w:r>
          </w:p>
        </w:tc>
        <w:tc>
          <w:tcPr>
            <w:tcW w:w="953"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Standard1"/>
              <w:jc w:val="center"/>
              <w:rPr>
                <w:rFonts w:ascii="Tahoma" w:hAnsi="Tahoma" w:cs="Tahoma"/>
                <w:b/>
                <w:sz w:val="16"/>
                <w:szCs w:val="16"/>
                <w:lang w:val="es-BO"/>
              </w:rPr>
            </w:pPr>
            <w:r>
              <w:rPr>
                <w:rFonts w:cs="Tahoma" w:ascii="Tahoma" w:hAnsi="Tahoma"/>
                <w:b/>
                <w:sz w:val="16"/>
                <w:szCs w:val="16"/>
                <w:lang w:val="es-BO"/>
              </w:rPr>
              <w:t>Puntaje asignado</w:t>
            </w:r>
          </w:p>
        </w:tc>
        <w:tc>
          <w:tcPr>
            <w:tcW w:w="1618"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r>
      <w:tr>
        <w:trPr>
          <w:trHeight w:val="247" w:hRule="atLeast"/>
        </w:trPr>
        <w:tc>
          <w:tcPr>
            <w:tcW w:w="3006" w:type="dxa"/>
            <w:tcBorders>
              <w:top w:val="single" w:sz="4" w:space="0" w:color="000000"/>
              <w:left w:val="single" w:sz="4" w:space="0" w:color="000000"/>
              <w:bottom w:val="single" w:sz="4" w:space="0" w:color="000000"/>
              <w:right w:val="single" w:sz="4" w:space="0" w:color="000000"/>
            </w:tcBorders>
            <w:shd w:fill="DBE5F1" w:val="clear"/>
            <w:vAlign w:val="center"/>
          </w:tcPr>
          <w:p>
            <w:pPr>
              <w:pStyle w:val="Standard1"/>
              <w:jc w:val="center"/>
              <w:rPr>
                <w:rFonts w:ascii="Tahoma" w:hAnsi="Tahoma" w:cs="Tahoma"/>
                <w:b/>
                <w:sz w:val="16"/>
                <w:szCs w:val="16"/>
                <w:lang w:val="es-BO"/>
              </w:rPr>
            </w:pPr>
            <w:r>
              <w:rPr>
                <w:rFonts w:cs="Tahoma" w:ascii="Tahoma" w:hAnsi="Tahoma"/>
                <w:b/>
                <w:sz w:val="16"/>
                <w:szCs w:val="16"/>
                <w:lang w:val="es-BO"/>
              </w:rPr>
              <w:t>Criterio</w:t>
            </w:r>
          </w:p>
        </w:tc>
        <w:tc>
          <w:tcPr>
            <w:tcW w:w="3737" w:type="dxa"/>
            <w:tcBorders>
              <w:top w:val="single" w:sz="4" w:space="0" w:color="000000"/>
              <w:left w:val="single" w:sz="4" w:space="0" w:color="000000"/>
              <w:bottom w:val="single" w:sz="4" w:space="0" w:color="000000"/>
              <w:right w:val="single" w:sz="4" w:space="0" w:color="000000"/>
            </w:tcBorders>
            <w:shd w:fill="DBE5F1" w:val="clear"/>
            <w:vAlign w:val="center"/>
          </w:tcPr>
          <w:p>
            <w:pPr>
              <w:pStyle w:val="Standard1"/>
              <w:jc w:val="center"/>
              <w:rPr>
                <w:rFonts w:ascii="Tahoma" w:hAnsi="Tahoma" w:cs="Tahoma"/>
                <w:b/>
                <w:sz w:val="16"/>
                <w:szCs w:val="16"/>
                <w:lang w:val="es-BO"/>
              </w:rPr>
            </w:pPr>
            <w:r>
              <w:rPr>
                <w:rFonts w:cs="Tahoma" w:ascii="Tahoma" w:hAnsi="Tahoma"/>
                <w:b/>
                <w:sz w:val="16"/>
                <w:szCs w:val="16"/>
                <w:lang w:val="es-BO"/>
              </w:rPr>
              <w:t>Condiciones</w:t>
            </w:r>
          </w:p>
        </w:tc>
        <w:tc>
          <w:tcPr>
            <w:tcW w:w="953"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1618"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r>
      <w:tr>
        <w:trPr>
          <w:trHeight w:val="315" w:hRule="exact"/>
        </w:trPr>
        <w:tc>
          <w:tcPr>
            <w:tcW w:w="3006"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ListParagraph"/>
              <w:numPr>
                <w:ilvl w:val="0"/>
                <w:numId w:val="5"/>
              </w:numPr>
              <w:suppressAutoHyphens w:val="false"/>
              <w:ind w:hanging="283" w:left="456" w:right="0"/>
              <w:textAlignment w:val="baseline"/>
              <w:rPr>
                <w:rFonts w:ascii="Tahoma" w:hAnsi="Tahoma" w:cs="Tahoma"/>
                <w:b/>
                <w:bCs/>
                <w:color w:val="000000"/>
                <w:sz w:val="16"/>
                <w:szCs w:val="16"/>
                <w:lang w:eastAsia="es-BO"/>
              </w:rPr>
            </w:pPr>
            <w:r>
              <w:rPr>
                <w:rFonts w:cs="Tahoma" w:ascii="Tahoma" w:hAnsi="Tahoma"/>
                <w:b/>
                <w:bCs/>
                <w:color w:val="000000"/>
                <w:sz w:val="16"/>
                <w:szCs w:val="16"/>
                <w:lang w:eastAsia="es-BO"/>
              </w:rPr>
              <w:t>FORMACIÓN ADICIONAL</w:t>
            </w:r>
          </w:p>
          <w:p>
            <w:pPr>
              <w:pStyle w:val="ListParagraph"/>
              <w:numPr>
                <w:ilvl w:val="0"/>
                <w:numId w:val="0"/>
              </w:numPr>
              <w:suppressAutoHyphens w:val="false"/>
              <w:ind w:hanging="0" w:left="173" w:right="0"/>
              <w:textAlignment w:val="baseline"/>
              <w:rPr>
                <w:rFonts w:ascii="Tahoma" w:hAnsi="Tahoma" w:cs="Tahoma"/>
                <w:b/>
                <w:bCs/>
                <w:color w:val="000000"/>
                <w:sz w:val="16"/>
                <w:szCs w:val="16"/>
                <w:lang w:eastAsia="es-BO"/>
              </w:rPr>
            </w:pPr>
            <w:r>
              <w:rPr>
                <w:rFonts w:cs="Tahoma" w:ascii="Tahoma" w:hAnsi="Tahoma"/>
                <w:b/>
                <w:bCs/>
                <w:color w:val="000000"/>
                <w:sz w:val="16"/>
                <w:szCs w:val="16"/>
                <w:lang w:eastAsia="es-BO"/>
              </w:rPr>
            </w:r>
          </w:p>
          <w:p>
            <w:pPr>
              <w:pStyle w:val="ListParagraph"/>
              <w:ind w:hanging="0" w:left="360" w:right="0"/>
              <w:rPr>
                <w:rFonts w:ascii="Tahoma" w:hAnsi="Tahoma" w:cs="Tahoma"/>
                <w:bCs/>
                <w:color w:val="000000"/>
                <w:sz w:val="16"/>
                <w:szCs w:val="16"/>
                <w:lang w:eastAsia="es-BO"/>
              </w:rPr>
            </w:pPr>
            <w:r>
              <w:rPr>
                <w:rFonts w:cs="Tahoma" w:ascii="Tahoma" w:hAnsi="Tahoma"/>
                <w:bCs/>
                <w:color w:val="000000"/>
                <w:sz w:val="16"/>
                <w:szCs w:val="16"/>
                <w:lang w:eastAsia="es-BO"/>
              </w:rPr>
            </w:r>
          </w:p>
          <w:p>
            <w:pPr>
              <w:pStyle w:val="ListParagraph"/>
              <w:ind w:hanging="0" w:left="360" w:right="111"/>
              <w:rPr>
                <w:rFonts w:ascii="Tahoma" w:hAnsi="Tahoma" w:cs="Tahoma"/>
                <w:bCs/>
                <w:color w:val="000000"/>
                <w:sz w:val="16"/>
                <w:szCs w:val="16"/>
                <w:lang w:eastAsia="es-BO"/>
              </w:rPr>
            </w:pPr>
            <w:r>
              <w:rPr>
                <w:rFonts w:cs="Tahoma" w:ascii="Tahoma" w:hAnsi="Tahoma"/>
                <w:bCs/>
                <w:color w:val="000000"/>
                <w:sz w:val="16"/>
                <w:szCs w:val="16"/>
                <w:lang w:eastAsia="es-BO"/>
              </w:rPr>
            </w:r>
          </w:p>
        </w:tc>
        <w:tc>
          <w:tcPr>
            <w:tcW w:w="3737" w:type="dxa"/>
            <w:tcBorders>
              <w:top w:val="single" w:sz="4" w:space="0" w:color="000000"/>
              <w:left w:val="single" w:sz="4" w:space="0" w:color="000000"/>
              <w:bottom w:val="single" w:sz="4" w:space="0" w:color="000000"/>
              <w:right w:val="single" w:sz="4" w:space="0" w:color="000000"/>
            </w:tcBorders>
            <w:vAlign w:val="center"/>
          </w:tcPr>
          <w:p>
            <w:pPr>
              <w:pStyle w:val="Standard1"/>
              <w:suppressAutoHyphens w:val="false"/>
              <w:spacing w:before="0" w:after="0"/>
              <w:ind w:hanging="0" w:left="0" w:right="83"/>
              <w:jc w:val="both"/>
              <w:rPr>
                <w:rFonts w:ascii="Tahoma" w:hAnsi="Tahoma" w:cs="Tahoma"/>
                <w:sz w:val="16"/>
                <w:szCs w:val="16"/>
                <w:lang w:val="es-BO"/>
              </w:rPr>
            </w:pPr>
            <w:r>
              <w:rPr>
                <w:rFonts w:cs="Tahoma" w:ascii="Tahoma" w:hAnsi="Tahoma"/>
                <w:sz w:val="16"/>
                <w:szCs w:val="16"/>
                <w:lang w:val="es-BO"/>
              </w:rPr>
              <w:t>Diplomado Administración Tributaria</w:t>
            </w:r>
          </w:p>
        </w:tc>
        <w:tc>
          <w:tcPr>
            <w:tcW w:w="953" w:type="dxa"/>
            <w:tcBorders>
              <w:top w:val="single" w:sz="4" w:space="0" w:color="000000"/>
              <w:left w:val="single" w:sz="4" w:space="0" w:color="000000"/>
              <w:bottom w:val="single" w:sz="4" w:space="0" w:color="000000"/>
            </w:tcBorders>
            <w:tcMar>
              <w:top w:w="55" w:type="dxa"/>
              <w:bottom w:w="55" w:type="dxa"/>
            </w:tcMar>
            <w:vAlign w:val="center"/>
          </w:tcPr>
          <w:p>
            <w:pPr>
              <w:pStyle w:val="Standard1"/>
              <w:jc w:val="center"/>
              <w:rPr>
                <w:rFonts w:ascii="Tahoma" w:hAnsi="Tahoma" w:cs="Tahoma"/>
                <w:b/>
                <w:color w:val="000000"/>
                <w:sz w:val="16"/>
                <w:szCs w:val="16"/>
                <w:lang w:val="es-BO"/>
              </w:rPr>
            </w:pPr>
            <w:r>
              <w:rPr>
                <w:rFonts w:cs="Tahoma" w:ascii="Tahoma" w:hAnsi="Tahoma"/>
                <w:b/>
                <w:color w:val="000000"/>
                <w:sz w:val="16"/>
                <w:szCs w:val="16"/>
                <w:lang w:val="es-BO"/>
              </w:rPr>
              <w:t>2</w:t>
            </w:r>
          </w:p>
          <w:p>
            <w:pPr>
              <w:pStyle w:val="Standard1"/>
              <w:jc w:val="center"/>
              <w:rPr>
                <w:rFonts w:ascii="Tahoma" w:hAnsi="Tahoma" w:cs="Tahoma"/>
                <w:b/>
                <w:color w:val="FFFFFF"/>
                <w:sz w:val="16"/>
                <w:szCs w:val="16"/>
                <w:lang w:val="es-BO"/>
              </w:rPr>
            </w:pPr>
            <w:r>
              <w:rPr>
                <w:rFonts w:cs="Tahoma" w:ascii="Tahoma" w:hAnsi="Tahoma"/>
                <w:b/>
                <w:color w:val="FFFFFF"/>
                <w:sz w:val="16"/>
                <w:szCs w:val="16"/>
                <w:lang w:val="es-BO"/>
              </w:rPr>
              <w:t>25</w:t>
            </w:r>
          </w:p>
        </w:tc>
        <w:tc>
          <w:tcPr>
            <w:tcW w:w="1618"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550" w:hRule="exact"/>
        </w:trPr>
        <w:tc>
          <w:tcPr>
            <w:tcW w:w="3006"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3737" w:type="dxa"/>
            <w:tcBorders>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0" w:after="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953" w:type="dxa"/>
            <w:tcBorders>
              <w:left w:val="single" w:sz="4" w:space="0" w:color="000000"/>
              <w:bottom w:val="single" w:sz="4" w:space="0" w:color="000000"/>
            </w:tcBorders>
            <w:tcMar>
              <w:top w:w="55" w:type="dxa"/>
              <w:bottom w:w="55" w:type="dxa"/>
            </w:tcMar>
            <w:vAlign w:val="center"/>
          </w:tcPr>
          <w:p>
            <w:pPr>
              <w:pStyle w:val="Standard1"/>
              <w:jc w:val="center"/>
              <w:rPr>
                <w:rFonts w:ascii="Tahoma" w:hAnsi="Tahoma"/>
                <w:b/>
                <w:bCs/>
                <w:sz w:val="16"/>
                <w:szCs w:val="16"/>
              </w:rPr>
            </w:pPr>
            <w:r>
              <w:rPr>
                <w:rFonts w:ascii="Tahoma" w:hAnsi="Tahoma"/>
                <w:b/>
                <w:bCs/>
                <w:sz w:val="16"/>
                <w:szCs w:val="16"/>
              </w:rPr>
              <w:t>2</w:t>
            </w:r>
          </w:p>
        </w:tc>
        <w:tc>
          <w:tcPr>
            <w:tcW w:w="1618" w:type="dxa"/>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510" w:hRule="exact"/>
        </w:trPr>
        <w:tc>
          <w:tcPr>
            <w:tcW w:w="3006"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3737" w:type="dxa"/>
            <w:tcBorders>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953" w:type="dxa"/>
            <w:tcBorders>
              <w:left w:val="single" w:sz="4" w:space="0" w:color="000000"/>
              <w:bottom w:val="single" w:sz="4" w:space="0" w:color="000000"/>
            </w:tcBorders>
            <w:tcMar>
              <w:top w:w="55" w:type="dxa"/>
              <w:bottom w:w="55" w:type="dxa"/>
            </w:tcMar>
            <w:vAlign w:val="center"/>
          </w:tcPr>
          <w:p>
            <w:pPr>
              <w:pStyle w:val="Standard1"/>
              <w:jc w:val="center"/>
              <w:rPr>
                <w:rFonts w:ascii="Tahoma" w:hAnsi="Tahoma"/>
                <w:b/>
                <w:bCs/>
                <w:sz w:val="16"/>
                <w:szCs w:val="16"/>
              </w:rPr>
            </w:pPr>
            <w:r>
              <w:rPr>
                <w:rFonts w:ascii="Tahoma" w:hAnsi="Tahoma"/>
                <w:b/>
                <w:bCs/>
                <w:sz w:val="16"/>
                <w:szCs w:val="16"/>
              </w:rPr>
              <w:t>2</w:t>
            </w:r>
          </w:p>
        </w:tc>
        <w:tc>
          <w:tcPr>
            <w:tcW w:w="1618" w:type="dxa"/>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510" w:hRule="exact"/>
        </w:trPr>
        <w:tc>
          <w:tcPr>
            <w:tcW w:w="3006"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3737" w:type="dxa"/>
            <w:tcBorders>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953" w:type="dxa"/>
            <w:tcBorders>
              <w:left w:val="single" w:sz="4" w:space="0" w:color="000000"/>
              <w:bottom w:val="single" w:sz="4" w:space="0" w:color="000000"/>
            </w:tcBorders>
            <w:tcMar>
              <w:top w:w="55" w:type="dxa"/>
              <w:bottom w:w="55" w:type="dxa"/>
            </w:tcMar>
            <w:vAlign w:val="center"/>
          </w:tcPr>
          <w:p>
            <w:pPr>
              <w:pStyle w:val="Standard1"/>
              <w:jc w:val="center"/>
              <w:rPr>
                <w:rFonts w:ascii="Tahoma" w:hAnsi="Tahoma"/>
                <w:b/>
                <w:bCs/>
                <w:sz w:val="16"/>
                <w:szCs w:val="16"/>
              </w:rPr>
            </w:pPr>
            <w:r>
              <w:rPr>
                <w:rFonts w:ascii="Tahoma" w:hAnsi="Tahoma"/>
                <w:b/>
                <w:bCs/>
                <w:sz w:val="16"/>
                <w:szCs w:val="16"/>
              </w:rPr>
              <w:t>1</w:t>
            </w:r>
          </w:p>
        </w:tc>
        <w:tc>
          <w:tcPr>
            <w:tcW w:w="1618" w:type="dxa"/>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615" w:hRule="exact"/>
        </w:trPr>
        <w:tc>
          <w:tcPr>
            <w:tcW w:w="3006"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rPr/>
            </w:pPr>
            <w:r>
              <w:rPr/>
            </w:r>
          </w:p>
        </w:tc>
        <w:tc>
          <w:tcPr>
            <w:tcW w:w="3737" w:type="dxa"/>
            <w:tcBorders>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8"/>
                <w:shd w:fill="auto" w:val="clear"/>
                <w:lang w:eastAsia="es-BO"/>
              </w:rPr>
            </w:pPr>
            <w:r>
              <w:rPr>
                <w:rFonts w:cs="Tahoma" w:ascii="Tahoma" w:hAnsi="Tahoma"/>
                <w:bCs/>
                <w:sz w:val="16"/>
                <w:szCs w:val="18"/>
                <w:shd w:fill="auto" w:val="clear"/>
                <w:lang w:eastAsia="es-BO"/>
              </w:rPr>
              <w:t>Curso o Taller en herramientas Ofimáticas (Word y Excel)</w:t>
            </w:r>
          </w:p>
        </w:tc>
        <w:tc>
          <w:tcPr>
            <w:tcW w:w="953" w:type="dxa"/>
            <w:tcBorders>
              <w:left w:val="single" w:sz="4" w:space="0" w:color="000000"/>
              <w:bottom w:val="single" w:sz="4" w:space="0" w:color="000000"/>
            </w:tcBorders>
            <w:tcMar>
              <w:top w:w="55" w:type="dxa"/>
              <w:bottom w:w="55" w:type="dxa"/>
            </w:tcMar>
            <w:vAlign w:val="center"/>
          </w:tcPr>
          <w:p>
            <w:pPr>
              <w:pStyle w:val="Standard1"/>
              <w:jc w:val="center"/>
              <w:rPr>
                <w:rFonts w:ascii="Tahoma" w:hAnsi="Tahoma"/>
                <w:b/>
                <w:bCs/>
                <w:sz w:val="16"/>
                <w:szCs w:val="16"/>
                <w:shd w:fill="auto" w:val="clear"/>
              </w:rPr>
            </w:pPr>
            <w:r>
              <w:rPr>
                <w:rFonts w:ascii="Tahoma" w:hAnsi="Tahoma"/>
                <w:b/>
                <w:bCs/>
                <w:sz w:val="16"/>
                <w:szCs w:val="16"/>
                <w:shd w:fill="auto" w:val="clear"/>
              </w:rPr>
              <w:t>1</w:t>
            </w:r>
          </w:p>
        </w:tc>
        <w:tc>
          <w:tcPr>
            <w:tcW w:w="1618" w:type="dxa"/>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735" w:hRule="atLeast"/>
        </w:trPr>
        <w:tc>
          <w:tcPr>
            <w:tcW w:w="3006" w:type="dxa"/>
            <w:vMerge w:val="restart"/>
            <w:tcBorders>
              <w:left w:val="single" w:sz="4" w:space="0" w:color="000000"/>
              <w:bottom w:val="single" w:sz="4" w:space="0" w:color="000000"/>
              <w:right w:val="single" w:sz="4" w:space="0" w:color="000000"/>
            </w:tcBorders>
            <w:shd w:fill="DBE5F1" w:val="clear"/>
            <w:vAlign w:val="center"/>
          </w:tcPr>
          <w:p>
            <w:pPr>
              <w:pStyle w:val="Normal"/>
              <w:rPr>
                <w:rFonts w:ascii="Tahoma" w:hAnsi="Tahoma"/>
                <w:b/>
                <w:bCs/>
                <w:sz w:val="16"/>
                <w:szCs w:val="16"/>
              </w:rPr>
            </w:pPr>
            <w:r>
              <w:rPr>
                <w:rFonts w:ascii="Tahoma" w:hAnsi="Tahoma"/>
                <w:b/>
                <w:bCs/>
                <w:sz w:val="16"/>
                <w:szCs w:val="16"/>
              </w:rPr>
              <w:t xml:space="preserve">   </w:t>
            </w:r>
            <w:r>
              <w:rPr>
                <w:rFonts w:ascii="Tahoma" w:hAnsi="Tahoma"/>
                <w:b/>
                <w:bCs/>
                <w:sz w:val="16"/>
                <w:szCs w:val="16"/>
              </w:rPr>
              <w:t>B EXPERIENCIA LABORAL</w:t>
            </w:r>
          </w:p>
        </w:tc>
        <w:tc>
          <w:tcPr>
            <w:tcW w:w="3737" w:type="dxa"/>
            <w:tcBorders>
              <w:left w:val="single" w:sz="4" w:space="0" w:color="000000"/>
              <w:bottom w:val="single" w:sz="4" w:space="0" w:color="000000"/>
              <w:right w:val="single" w:sz="4" w:space="0" w:color="000000"/>
            </w:tcBorders>
          </w:tcPr>
          <w:p>
            <w:pPr>
              <w:pStyle w:val="Normal"/>
              <w:widowControl w:val="false"/>
              <w:spacing w:before="0" w:after="0"/>
              <w:jc w:val="both"/>
              <w:rPr>
                <w:rFonts w:ascii="Tahoma" w:hAnsi="Tahoma"/>
                <w:sz w:val="16"/>
                <w:szCs w:val="16"/>
              </w:rPr>
            </w:pPr>
            <w:r>
              <w:rPr>
                <w:rFonts w:eastAsia="Calibri" w:cs="Tahoma" w:ascii="Tahoma" w:hAnsi="Tahoma"/>
                <w:sz w:val="16"/>
                <w:szCs w:val="16"/>
                <w:lang w:val="es-ES"/>
              </w:rPr>
              <w:t xml:space="preserve">Experiencia laboral </w:t>
            </w:r>
            <w:r>
              <w:rPr>
                <w:rFonts w:eastAsia="Calibri" w:cs="Tahoma" w:ascii="Tahoma" w:hAnsi="Tahoma"/>
                <w:sz w:val="16"/>
                <w:szCs w:val="16"/>
                <w:lang w:val="es-ES" w:eastAsia="es-ES"/>
              </w:rPr>
              <w:t>General a partir de la emisión del Título en Provisión Nacional</w:t>
            </w:r>
            <w:r>
              <w:rPr>
                <w:rFonts w:eastAsia="Calibri" w:cs="Tahoma" w:ascii="Tahoma" w:hAnsi="Tahoma"/>
                <w:sz w:val="16"/>
                <w:szCs w:val="16"/>
                <w:lang w:val="es-ES"/>
              </w:rPr>
              <w:t>.</w:t>
            </w:r>
          </w:p>
          <w:p>
            <w:pPr>
              <w:pStyle w:val="Normal"/>
              <w:widowControl w:val="false"/>
              <w:spacing w:before="0" w:after="0"/>
              <w:jc w:val="both"/>
              <w:rPr>
                <w:rFonts w:ascii="Tahoma" w:hAnsi="Tahoma"/>
                <w:sz w:val="16"/>
                <w:szCs w:val="16"/>
              </w:rPr>
            </w:pPr>
            <w:r>
              <w:rPr>
                <w:rFonts w:eastAsia="Calibri" w:cs="Tahoma" w:ascii="Tahoma" w:hAnsi="Tahoma"/>
                <w:sz w:val="16"/>
                <w:szCs w:val="16"/>
                <w:lang w:val="es-ES"/>
              </w:rPr>
              <w:t xml:space="preserve">De 1 mes hasta 3 meses </w:t>
            </w:r>
            <w:r>
              <w:rPr>
                <w:rFonts w:eastAsia="Calibri" w:cs="Tahoma" w:ascii="Tahoma" w:hAnsi="Tahoma"/>
                <w:b/>
                <w:sz w:val="16"/>
                <w:szCs w:val="16"/>
                <w:lang w:val="es-ES"/>
              </w:rPr>
              <w:t>= 1 punto.</w:t>
            </w:r>
          </w:p>
        </w:tc>
        <w:tc>
          <w:tcPr>
            <w:tcW w:w="953" w:type="dxa"/>
            <w:vMerge w:val="restart"/>
            <w:tcBorders>
              <w:left w:val="single" w:sz="4" w:space="0" w:color="000000"/>
              <w:bottom w:val="single" w:sz="4" w:space="0" w:color="000000"/>
            </w:tcBorders>
            <w:tcMar>
              <w:top w:w="55" w:type="dxa"/>
              <w:bottom w:w="55" w:type="dxa"/>
            </w:tcMar>
            <w:vAlign w:val="center"/>
          </w:tcPr>
          <w:p>
            <w:pPr>
              <w:pStyle w:val="Standard1"/>
              <w:jc w:val="center"/>
              <w:rPr>
                <w:rFonts w:ascii="Tahoma" w:hAnsi="Tahoma"/>
                <w:b/>
                <w:bCs/>
                <w:sz w:val="16"/>
                <w:szCs w:val="16"/>
              </w:rPr>
            </w:pPr>
            <w:r>
              <w:rPr>
                <w:rFonts w:ascii="Tahoma" w:hAnsi="Tahoma"/>
                <w:b/>
                <w:bCs/>
                <w:sz w:val="16"/>
                <w:szCs w:val="16"/>
              </w:rPr>
              <w:t>2</w:t>
            </w:r>
          </w:p>
        </w:tc>
        <w:tc>
          <w:tcPr>
            <w:tcW w:w="1618" w:type="dxa"/>
            <w:vMerge w:val="restart"/>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sz w:val="16"/>
                <w:szCs w:val="16"/>
                <w:lang w:val="es-BO"/>
              </w:rPr>
            </w:pPr>
            <w:r>
              <w:rPr>
                <w:rFonts w:cs="Tahoma" w:ascii="Tahoma" w:hAnsi="Tahoma"/>
                <w:sz w:val="16"/>
                <w:szCs w:val="16"/>
                <w:lang w:val="es-BO"/>
              </w:rPr>
            </w:r>
          </w:p>
        </w:tc>
      </w:tr>
      <w:tr>
        <w:trPr>
          <w:trHeight w:val="161" w:hRule="atLeast"/>
        </w:trPr>
        <w:tc>
          <w:tcPr>
            <w:tcW w:w="3006" w:type="dxa"/>
            <w:vMerge w:val="continue"/>
            <w:tcBorders>
              <w:left w:val="single" w:sz="4" w:space="0" w:color="000000"/>
              <w:bottom w:val="single" w:sz="4" w:space="0" w:color="000000"/>
              <w:right w:val="single" w:sz="4" w:space="0" w:color="000000"/>
            </w:tcBorders>
            <w:shd w:fill="DBE5F1" w:val="clear"/>
            <w:vAlign w:val="center"/>
          </w:tcPr>
          <w:p>
            <w:pPr>
              <w:pStyle w:val="Normal"/>
              <w:rPr/>
            </w:pPr>
            <w:r>
              <w:rPr/>
            </w:r>
          </w:p>
        </w:tc>
        <w:tc>
          <w:tcPr>
            <w:tcW w:w="3737" w:type="dxa"/>
            <w:tcBorders>
              <w:left w:val="single" w:sz="4" w:space="0" w:color="000000"/>
              <w:bottom w:val="single" w:sz="4" w:space="0" w:color="000000"/>
              <w:right w:val="single" w:sz="4" w:space="0" w:color="000000"/>
            </w:tcBorders>
            <w:vAlign w:val="center"/>
          </w:tcPr>
          <w:p>
            <w:pPr>
              <w:pStyle w:val="NoSpacing"/>
              <w:widowControl w:val="false"/>
              <w:ind w:hanging="20" w:left="20" w:right="0"/>
              <w:rPr>
                <w:rFonts w:ascii="Tahoma" w:hAnsi="Tahoma"/>
                <w:sz w:val="16"/>
                <w:szCs w:val="16"/>
              </w:rPr>
            </w:pPr>
            <w:r>
              <w:rPr>
                <w:rFonts w:cs="Tahoma" w:ascii="Tahoma" w:hAnsi="Tahoma"/>
                <w:sz w:val="16"/>
                <w:szCs w:val="16"/>
              </w:rPr>
              <w:t xml:space="preserve">De </w:t>
            </w:r>
            <w:r>
              <w:rPr>
                <w:rFonts w:eastAsia="Times New Roman" w:cs="Tahoma" w:ascii="Tahoma" w:hAnsi="Tahoma"/>
                <w:sz w:val="16"/>
                <w:szCs w:val="16"/>
                <w:lang w:val="es-ES"/>
              </w:rPr>
              <w:t>3</w:t>
            </w:r>
            <w:r>
              <w:rPr>
                <w:rFonts w:cs="Tahoma" w:ascii="Tahoma" w:hAnsi="Tahoma"/>
                <w:sz w:val="16"/>
                <w:szCs w:val="16"/>
              </w:rPr>
              <w:t xml:space="preserve"> meses hasta </w:t>
            </w:r>
            <w:r>
              <w:rPr>
                <w:rFonts w:eastAsia="Times New Roman" w:cs="Tahoma" w:ascii="Tahoma" w:hAnsi="Tahoma"/>
                <w:sz w:val="16"/>
                <w:szCs w:val="16"/>
                <w:lang w:val="es-ES"/>
              </w:rPr>
              <w:t>8</w:t>
            </w:r>
            <w:r>
              <w:rPr>
                <w:rFonts w:cs="Tahoma" w:ascii="Tahoma" w:hAnsi="Tahoma"/>
                <w:sz w:val="16"/>
                <w:szCs w:val="16"/>
              </w:rPr>
              <w:t xml:space="preserve"> meses = </w:t>
            </w:r>
            <w:r>
              <w:rPr>
                <w:rFonts w:cs="Tahoma" w:ascii="Tahoma" w:hAnsi="Tahoma"/>
                <w:b/>
                <w:bCs/>
                <w:sz w:val="16"/>
                <w:szCs w:val="16"/>
              </w:rPr>
              <w:t>2</w:t>
            </w:r>
            <w:r>
              <w:rPr>
                <w:rFonts w:cs="Tahoma" w:ascii="Tahoma" w:hAnsi="Tahoma"/>
                <w:b/>
                <w:sz w:val="16"/>
                <w:szCs w:val="16"/>
              </w:rPr>
              <w:t xml:space="preserve"> puntos.</w:t>
            </w:r>
          </w:p>
        </w:tc>
        <w:tc>
          <w:tcPr>
            <w:tcW w:w="953" w:type="dxa"/>
            <w:vMerge w:val="continue"/>
            <w:tcBorders>
              <w:left w:val="single" w:sz="4" w:space="0" w:color="000000"/>
              <w:bottom w:val="single" w:sz="4" w:space="0" w:color="000000"/>
            </w:tcBorders>
            <w:tcMar>
              <w:top w:w="55" w:type="dxa"/>
              <w:bottom w:w="55" w:type="dxa"/>
            </w:tcMar>
            <w:vAlign w:val="center"/>
          </w:tcPr>
          <w:p>
            <w:pPr>
              <w:pStyle w:val="Normal"/>
              <w:rPr/>
            </w:pPr>
            <w:r>
              <w:rPr/>
            </w:r>
          </w:p>
        </w:tc>
        <w:tc>
          <w:tcPr>
            <w:tcW w:w="1618" w:type="dxa"/>
            <w:vMerge w:val="continue"/>
            <w:tcBorders>
              <w:left w:val="single" w:sz="4" w:space="0" w:color="000000"/>
              <w:bottom w:val="single" w:sz="4" w:space="0" w:color="000000"/>
              <w:right w:val="single" w:sz="4" w:space="0" w:color="000000"/>
            </w:tcBorders>
            <w:tcMar>
              <w:top w:w="55" w:type="dxa"/>
              <w:bottom w:w="55" w:type="dxa"/>
            </w:tcMar>
          </w:tcPr>
          <w:p>
            <w:pPr>
              <w:pStyle w:val="Normal"/>
              <w:rPr/>
            </w:pPr>
            <w:r>
              <w:rPr/>
            </w:r>
          </w:p>
        </w:tc>
      </w:tr>
      <w:tr>
        <w:trPr>
          <w:trHeight w:val="223" w:hRule="atLeast"/>
        </w:trPr>
        <w:tc>
          <w:tcPr>
            <w:tcW w:w="3006" w:type="dxa"/>
            <w:tcBorders>
              <w:top w:val="single" w:sz="4" w:space="0" w:color="000000"/>
              <w:left w:val="single" w:sz="4" w:space="0" w:color="000000"/>
              <w:bottom w:val="single" w:sz="4" w:space="0" w:color="000000"/>
              <w:right w:val="single" w:sz="4" w:space="0" w:color="000000"/>
            </w:tcBorders>
            <w:shd w:fill="DBE5F1" w:val="clear"/>
            <w:vAlign w:val="center"/>
          </w:tcPr>
          <w:p>
            <w:pPr>
              <w:pStyle w:val="ListParagraph"/>
              <w:numPr>
                <w:ilvl w:val="0"/>
                <w:numId w:val="0"/>
              </w:numPr>
              <w:suppressAutoHyphens w:val="false"/>
              <w:ind w:hanging="0" w:left="173" w:right="111"/>
              <w:textAlignment w:val="baseline"/>
              <w:rPr>
                <w:rFonts w:ascii="Tahoma" w:hAnsi="Tahoma" w:cs="Tahoma"/>
                <w:b/>
                <w:bCs/>
                <w:color w:val="000000"/>
                <w:sz w:val="16"/>
                <w:szCs w:val="16"/>
                <w:lang w:eastAsia="es-BO"/>
              </w:rPr>
            </w:pPr>
            <w:r>
              <w:rPr>
                <w:rFonts w:cs="Tahoma" w:ascii="Tahoma" w:hAnsi="Tahoma"/>
                <w:b/>
                <w:bCs/>
                <w:color w:val="000000"/>
                <w:sz w:val="16"/>
                <w:szCs w:val="16"/>
                <w:lang w:eastAsia="es-BO"/>
              </w:rPr>
              <w:t>C ENTREVISTA Y/O EXÁMEN</w:t>
            </w:r>
          </w:p>
          <w:p>
            <w:pPr>
              <w:pStyle w:val="ListParagraph"/>
              <w:suppressAutoHyphens w:val="false"/>
              <w:ind w:hanging="0" w:left="360" w:right="111"/>
              <w:rPr>
                <w:rFonts w:ascii="Tahoma" w:hAnsi="Tahoma" w:cs="Tahoma"/>
                <w:b/>
                <w:bCs/>
                <w:color w:val="000000"/>
                <w:sz w:val="16"/>
                <w:szCs w:val="16"/>
                <w:lang w:eastAsia="es-BO"/>
              </w:rPr>
            </w:pPr>
            <w:r>
              <w:rPr>
                <w:rFonts w:cs="Tahoma" w:ascii="Tahoma" w:hAnsi="Tahoma"/>
                <w:b/>
                <w:bCs/>
                <w:color w:val="000000"/>
                <w:sz w:val="16"/>
                <w:szCs w:val="16"/>
                <w:lang w:eastAsia="es-BO"/>
              </w:rPr>
            </w:r>
          </w:p>
          <w:p>
            <w:pPr>
              <w:pStyle w:val="ListParagraph"/>
              <w:ind w:hanging="0" w:left="360" w:right="111"/>
              <w:rPr>
                <w:rFonts w:ascii="Tahoma" w:hAnsi="Tahoma" w:cs="Tahoma"/>
                <w:b/>
                <w:color w:val="000000"/>
                <w:sz w:val="16"/>
                <w:szCs w:val="16"/>
                <w:u w:val="single"/>
                <w:lang w:val="es-BO"/>
              </w:rPr>
            </w:pPr>
            <w:r>
              <w:rPr>
                <w:rFonts w:cs="Tahoma" w:ascii="Tahoma" w:hAnsi="Tahoma"/>
                <w:b/>
                <w:color w:val="000000"/>
                <w:sz w:val="16"/>
                <w:szCs w:val="16"/>
                <w:u w:val="single"/>
                <w:lang w:val="es-BO"/>
              </w:rPr>
            </w:r>
          </w:p>
        </w:tc>
        <w:tc>
          <w:tcPr>
            <w:tcW w:w="3737" w:type="dxa"/>
            <w:tcBorders>
              <w:top w:val="single" w:sz="4" w:space="0" w:color="000000"/>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 xml:space="preserve">Entrevista y/o exámen (los candidatos seleccionados serán entrevistados y/o tomarán una prueba de conocimientos, por la Comisión de </w:t>
            </w:r>
            <w:r>
              <w:rPr>
                <w:rFonts w:cs="Tahoma" w:ascii="Tahoma" w:hAnsi="Tahoma"/>
                <w:bCs/>
                <w:sz w:val="16"/>
                <w:szCs w:val="16"/>
                <w:shd w:fill="auto" w:val="clear"/>
                <w:lang w:eastAsia="es-BO"/>
              </w:rPr>
              <w:t>Calificación en instalaciones de la Gerencia Distrital Montero, previo a la fecha de Adjudicación establecido en el cronograma de plazos de la convocatoria). (MANIFESTAR ACEPTACIÓN)</w:t>
            </w:r>
          </w:p>
        </w:tc>
        <w:tc>
          <w:tcPr>
            <w:tcW w:w="953" w:type="dxa"/>
            <w:tcBorders>
              <w:top w:val="single" w:sz="4" w:space="0" w:color="000000"/>
              <w:left w:val="single" w:sz="4" w:space="0" w:color="000000"/>
              <w:bottom w:val="single" w:sz="4" w:space="0" w:color="000000"/>
              <w:right w:val="single" w:sz="4" w:space="0" w:color="000000"/>
            </w:tcBorders>
            <w:vAlign w:val="center"/>
          </w:tcPr>
          <w:p>
            <w:pPr>
              <w:pStyle w:val="Standard1"/>
              <w:jc w:val="center"/>
              <w:rPr>
                <w:rFonts w:ascii="Tahoma" w:hAnsi="Tahoma" w:cs="Tahoma"/>
                <w:b/>
                <w:sz w:val="16"/>
                <w:szCs w:val="16"/>
                <w:lang w:val="es-BO"/>
              </w:rPr>
            </w:pPr>
            <w:r>
              <w:rPr>
                <w:rFonts w:cs="Tahoma" w:ascii="Tahoma" w:hAnsi="Tahoma"/>
                <w:b/>
                <w:sz w:val="16"/>
                <w:szCs w:val="16"/>
                <w:lang w:val="es-BO"/>
              </w:rPr>
              <w:t>25</w:t>
            </w:r>
          </w:p>
        </w:tc>
        <w:tc>
          <w:tcPr>
            <w:tcW w:w="1618"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b/>
                <w:sz w:val="16"/>
                <w:szCs w:val="16"/>
                <w:lang w:val="es-BO"/>
              </w:rPr>
            </w:pPr>
            <w:r>
              <w:rPr>
                <w:rFonts w:cs="Tahoma" w:ascii="Tahoma" w:hAnsi="Tahoma"/>
                <w:b/>
                <w:sz w:val="16"/>
                <w:szCs w:val="16"/>
                <w:lang w:val="es-BO"/>
              </w:rPr>
            </w:r>
          </w:p>
          <w:p>
            <w:pPr>
              <w:pStyle w:val="ListParagraph"/>
              <w:suppressAutoHyphens w:val="false"/>
              <w:spacing w:before="20" w:after="20"/>
              <w:ind w:hanging="0" w:left="0" w:right="83"/>
              <w:jc w:val="center"/>
              <w:textAlignment w:val="baseline"/>
              <w:rPr>
                <w:rFonts w:ascii="Tahoma" w:hAnsi="Tahoma" w:cs="Tahoma"/>
                <w:b/>
                <w:bCs/>
                <w:sz w:val="16"/>
                <w:szCs w:val="16"/>
                <w:shd w:fill="FFFF00" w:val="clear"/>
                <w:lang w:eastAsia="es-BO"/>
              </w:rPr>
            </w:pPr>
            <w:r>
              <w:rPr>
                <w:rFonts w:cs="Tahoma" w:ascii="Tahoma" w:hAnsi="Tahoma"/>
                <w:b/>
                <w:bCs/>
                <w:sz w:val="16"/>
                <w:szCs w:val="16"/>
                <w:shd w:fill="FFFF00" w:val="clear"/>
                <w:lang w:eastAsia="es-BO"/>
              </w:rPr>
            </w:r>
          </w:p>
        </w:tc>
      </w:tr>
      <w:tr>
        <w:trPr>
          <w:trHeight w:val="223" w:hRule="atLeast"/>
        </w:trPr>
        <w:tc>
          <w:tcPr>
            <w:tcW w:w="6743" w:type="dxa"/>
            <w:gridSpan w:val="2"/>
            <w:tcBorders>
              <w:left w:val="single" w:sz="4" w:space="0" w:color="000000"/>
              <w:bottom w:val="single" w:sz="4" w:space="0" w:color="000000"/>
              <w:right w:val="single" w:sz="4" w:space="0" w:color="000000"/>
            </w:tcBorders>
            <w:shd w:fill="DBE5F1" w:val="clear"/>
            <w:vAlign w:val="center"/>
          </w:tcPr>
          <w:p>
            <w:pPr>
              <w:pStyle w:val="ListParagraph"/>
              <w:numPr>
                <w:ilvl w:val="0"/>
                <w:numId w:val="0"/>
              </w:numPr>
              <w:suppressAutoHyphens w:val="false"/>
              <w:ind w:hanging="0" w:left="173" w:right="111"/>
              <w:textAlignment w:val="baseline"/>
              <w:rPr>
                <w:rFonts w:ascii="Tahoma" w:hAnsi="Tahoma" w:cs="Tahoma"/>
                <w:b/>
                <w:bCs/>
                <w:color w:val="000000"/>
                <w:sz w:val="16"/>
                <w:szCs w:val="16"/>
                <w:lang w:eastAsia="es-BO"/>
              </w:rPr>
            </w:pPr>
            <w:r>
              <w:rPr>
                <w:rFonts w:cs="Tahoma" w:ascii="Tahoma" w:hAnsi="Tahoma"/>
                <w:b/>
                <w:bCs/>
                <w:color w:val="000000"/>
                <w:sz w:val="16"/>
                <w:szCs w:val="16"/>
                <w:lang w:eastAsia="es-BO"/>
              </w:rPr>
              <w:t>TOTAL CONDICIONES ADICIONALES</w:t>
            </w:r>
          </w:p>
        </w:tc>
        <w:tc>
          <w:tcPr>
            <w:tcW w:w="953" w:type="dxa"/>
            <w:tcBorders>
              <w:left w:val="single" w:sz="4" w:space="0" w:color="000000"/>
              <w:bottom w:val="single" w:sz="4" w:space="0" w:color="000000"/>
              <w:right w:val="single" w:sz="4" w:space="0" w:color="000000"/>
            </w:tcBorders>
            <w:vAlign w:val="center"/>
          </w:tcPr>
          <w:p>
            <w:pPr>
              <w:pStyle w:val="Standard1"/>
              <w:jc w:val="center"/>
              <w:rPr>
                <w:rFonts w:ascii="Tahoma" w:hAnsi="Tahoma" w:cs="Tahoma"/>
                <w:b/>
                <w:sz w:val="16"/>
                <w:szCs w:val="16"/>
                <w:lang w:val="es-BO"/>
              </w:rPr>
            </w:pPr>
            <w:r>
              <w:rPr>
                <w:rFonts w:cs="Tahoma" w:ascii="Tahoma" w:hAnsi="Tahoma"/>
                <w:b/>
                <w:sz w:val="16"/>
                <w:szCs w:val="16"/>
                <w:lang w:val="es-BO"/>
              </w:rPr>
              <w:t>35</w:t>
            </w:r>
          </w:p>
        </w:tc>
        <w:tc>
          <w:tcPr>
            <w:tcW w:w="1618" w:type="dxa"/>
            <w:tcBorders>
              <w:left w:val="single" w:sz="4" w:space="0" w:color="000000"/>
              <w:bottom w:val="single" w:sz="4" w:space="0" w:color="000000"/>
              <w:right w:val="single" w:sz="4" w:space="0" w:color="000000"/>
            </w:tcBorders>
            <w:tcMar>
              <w:top w:w="55" w:type="dxa"/>
              <w:bottom w:w="55" w:type="dxa"/>
            </w:tcMar>
          </w:tcPr>
          <w:p>
            <w:pPr>
              <w:pStyle w:val="Standard1"/>
              <w:jc w:val="center"/>
              <w:rPr>
                <w:rFonts w:ascii="Tahoma" w:hAnsi="Tahoma" w:cs="Tahoma"/>
                <w:b/>
                <w:sz w:val="16"/>
                <w:szCs w:val="16"/>
                <w:lang w:val="es-BO"/>
              </w:rPr>
            </w:pPr>
            <w:r>
              <w:rPr>
                <w:rFonts w:cs="Tahoma" w:ascii="Tahoma" w:hAnsi="Tahoma"/>
                <w:b/>
                <w:sz w:val="16"/>
                <w:szCs w:val="16"/>
                <w:lang w:val="es-BO"/>
              </w:rPr>
            </w:r>
          </w:p>
        </w:tc>
      </w:tr>
    </w:tbl>
    <w:p>
      <w:pPr>
        <w:pStyle w:val="Normal"/>
        <w:shd w:val="clear" w:fill="FFFFFF"/>
        <w:spacing w:before="0" w:after="0"/>
        <w:ind w:hanging="0" w:left="284" w:right="0"/>
        <w:rPr>
          <w:rFonts w:ascii="Tahoma" w:hAnsi="Tahoma" w:cs="Tahoma"/>
          <w:sz w:val="20"/>
          <w:szCs w:val="20"/>
        </w:rPr>
      </w:pPr>
      <w:r>
        <w:rPr>
          <w:rFonts w:cs="Tahoma" w:ascii="Tahoma" w:hAnsi="Tahoma"/>
          <w:sz w:val="20"/>
          <w:szCs w:val="20"/>
        </w:rPr>
      </w:r>
    </w:p>
    <w:p>
      <w:pPr>
        <w:pStyle w:val="Normal"/>
        <w:shd w:val="clear" w:fill="FFFFFF"/>
        <w:spacing w:before="40" w:after="40"/>
        <w:ind w:hanging="0" w:left="284" w:right="0"/>
        <w:rPr>
          <w:rFonts w:ascii="Tahoma" w:hAnsi="Tahoma" w:cs="Tahoma"/>
          <w:sz w:val="20"/>
          <w:szCs w:val="20"/>
        </w:rPr>
      </w:pPr>
      <w:r>
        <w:rPr>
          <w:rFonts w:cs="Tahoma" w:ascii="Tahoma" w:hAnsi="Tahoma"/>
          <w:sz w:val="20"/>
          <w:szCs w:val="20"/>
        </w:rPr>
        <w:t xml:space="preserve">Para la evaluación respectiva, los postulantes deberán adjuntar los respaldos de la información declarada en los </w:t>
      </w:r>
      <w:r>
        <w:rPr>
          <w:rFonts w:cs="Tahoma" w:ascii="Tahoma" w:hAnsi="Tahoma"/>
          <w:b/>
          <w:bCs/>
          <w:sz w:val="20"/>
          <w:szCs w:val="20"/>
        </w:rPr>
        <w:t>Formularios C1 y C2</w:t>
      </w:r>
      <w:r>
        <w:rPr>
          <w:rFonts w:cs="Tahoma" w:ascii="Tahoma" w:hAnsi="Tahoma"/>
          <w:sz w:val="20"/>
          <w:szCs w:val="20"/>
        </w:rPr>
        <w:t>, a la propuesta digital.</w:t>
      </w:r>
    </w:p>
    <w:p>
      <w:pPr>
        <w:pStyle w:val="Normal"/>
        <w:shd w:val="clear" w:fill="FFFFFF"/>
        <w:spacing w:before="0" w:after="0"/>
        <w:ind w:hanging="0" w:left="284" w:right="0"/>
        <w:rPr>
          <w:rFonts w:ascii="Tahoma" w:hAnsi="Tahoma" w:cs="Tahoma"/>
          <w:sz w:val="20"/>
          <w:szCs w:val="20"/>
        </w:rPr>
      </w:pPr>
      <w:r>
        <w:rPr>
          <w:rFonts w:cs="Tahoma" w:ascii="Tahoma" w:hAnsi="Tahoma"/>
          <w:sz w:val="20"/>
          <w:szCs w:val="20"/>
        </w:rPr>
      </w:r>
    </w:p>
    <w:p>
      <w:pPr>
        <w:pStyle w:val="Normal"/>
        <w:shd w:val="clear" w:fill="FFFFFF"/>
        <w:spacing w:before="40" w:after="40"/>
        <w:ind w:hanging="0" w:left="284" w:right="0"/>
        <w:jc w:val="both"/>
        <w:rPr>
          <w:rFonts w:ascii="Tahoma" w:hAnsi="Tahoma" w:cs="Tahoma"/>
          <w:sz w:val="20"/>
          <w:szCs w:val="20"/>
        </w:rPr>
      </w:pPr>
      <w:r>
        <w:rPr>
          <w:rFonts w:cs="Tahoma" w:ascii="Tahoma" w:hAnsi="Tahoma"/>
          <w:sz w:val="20"/>
          <w:szCs w:val="20"/>
          <w:lang w:val="es-BO"/>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w:t>
      </w:r>
      <w:r>
        <w:rPr>
          <w:rFonts w:cs="Tahoma" w:ascii="Tahoma" w:hAnsi="Tahoma"/>
          <w:sz w:val="20"/>
          <w:szCs w:val="20"/>
          <w:shd w:fill="auto" w:val="clear"/>
          <w:lang w:val="es-BO"/>
        </w:rPr>
        <w:t>la Gerencia Distrital Montero del</w:t>
      </w:r>
      <w:r>
        <w:rPr>
          <w:rFonts w:cs="Tahoma" w:ascii="Tahoma" w:hAnsi="Tahoma"/>
          <w:sz w:val="20"/>
          <w:szCs w:val="20"/>
          <w:lang w:val="es-BO"/>
        </w:rPr>
        <w:t xml:space="preserve"> SIN, previo a la fecha de adjudicación establecida en el cronograma de plazos.</w:t>
      </w:r>
    </w:p>
    <w:p>
      <w:pPr>
        <w:pStyle w:val="Normal"/>
        <w:jc w:val="both"/>
        <w:rPr>
          <w:rFonts w:ascii="Tahoma" w:hAnsi="Tahoma" w:cs="Tahoma"/>
          <w:sz w:val="20"/>
          <w:szCs w:val="20"/>
        </w:rPr>
      </w:pPr>
      <w:r>
        <w:rPr>
          <w:rFonts w:cs="Tahoma" w:ascii="Tahoma" w:hAnsi="Tahoma"/>
          <w:sz w:val="20"/>
          <w:szCs w:val="20"/>
        </w:rPr>
      </w:r>
    </w:p>
    <w:p>
      <w:pPr>
        <w:pStyle w:val="Heading1"/>
        <w:keepNext w:val="false"/>
        <w:keepLines w:val="false"/>
        <w:numPr>
          <w:ilvl w:val="0"/>
          <w:numId w:val="1"/>
        </w:numPr>
        <w:pBdr>
          <w:bottom w:val="single" w:sz="12" w:space="1" w:color="365F91"/>
        </w:pBdr>
        <w:spacing w:before="0" w:after="0"/>
        <w:ind w:hanging="0" w:left="284" w:right="0"/>
        <w:jc w:val="both"/>
        <w:rPr>
          <w:rFonts w:ascii="Tahoma" w:hAnsi="Tahoma" w:cs="Tahoma"/>
          <w:sz w:val="20"/>
          <w:szCs w:val="20"/>
          <w:lang w:val="es-BO"/>
        </w:rPr>
      </w:pPr>
      <w:r>
        <w:rPr>
          <w:rFonts w:cs="Tahoma"/>
          <w:sz w:val="20"/>
          <w:szCs w:val="20"/>
          <w:lang w:val="es-BO"/>
        </w:rPr>
        <w:t>MÉTODO DE SELECCIÓN Y ADJUDICACIÓN</w:t>
      </w:r>
    </w:p>
    <w:p>
      <w:pPr>
        <w:pStyle w:val="Normal"/>
        <w:ind w:hanging="0" w:left="284" w:right="0"/>
        <w:jc w:val="both"/>
        <w:rPr>
          <w:rFonts w:ascii="Tahoma" w:hAnsi="Tahoma" w:cs="Tahoma"/>
          <w:sz w:val="20"/>
          <w:szCs w:val="20"/>
        </w:rPr>
      </w:pPr>
      <w:r>
        <w:rPr>
          <w:rFonts w:cs="Tahoma" w:ascii="Tahoma" w:hAnsi="Tahoma"/>
          <w:sz w:val="20"/>
          <w:szCs w:val="20"/>
        </w:rPr>
      </w:r>
    </w:p>
    <w:p>
      <w:pPr>
        <w:pStyle w:val="Normal"/>
        <w:ind w:hanging="0" w:left="284" w:right="0"/>
        <w:jc w:val="both"/>
        <w:rPr/>
      </w:pPr>
      <w:r>
        <w:rPr>
          <w:rFonts w:cs="Tahoma" w:ascii="Tahoma" w:hAnsi="Tahoma"/>
          <w:sz w:val="20"/>
          <w:szCs w:val="20"/>
        </w:rPr>
        <w:t xml:space="preserve">La adjudicación será por ítem y se realizará por </w:t>
      </w:r>
      <w:r>
        <w:rPr>
          <w:rFonts w:cs="Tahoma" w:ascii="Tahoma" w:hAnsi="Tahoma"/>
          <w:b/>
          <w:sz w:val="20"/>
          <w:szCs w:val="20"/>
        </w:rPr>
        <w:t xml:space="preserve">Presupuesto Fijo </w:t>
      </w:r>
      <w:r>
        <w:rPr>
          <w:rFonts w:cs="Tahoma" w:ascii="Tahoma" w:hAnsi="Tahoma"/>
          <w:sz w:val="20"/>
          <w:szCs w:val="20"/>
        </w:rPr>
        <w:t>y se efectuará a la propuesta que cumpla con los requisitos exigidos (de acuerdo a lo establecido en el cuadro del punto 21) y alcance la mayor calificación. El puntaje mínimo aceptable será de 50 (cincuenta) puntos:</w:t>
      </w:r>
    </w:p>
    <w:p>
      <w:pPr>
        <w:pStyle w:val="Normal"/>
        <w:ind w:hanging="0" w:left="426" w:right="0"/>
        <w:jc w:val="both"/>
        <w:rPr>
          <w:rFonts w:ascii="Tahoma" w:hAnsi="Tahoma" w:cs="Tahoma"/>
          <w:bCs/>
          <w:iCs/>
          <w:sz w:val="20"/>
          <w:szCs w:val="20"/>
        </w:rPr>
      </w:pPr>
      <w:r>
        <w:rPr>
          <w:rFonts w:cs="Tahoma" w:ascii="Tahoma" w:hAnsi="Tahoma"/>
          <w:bCs/>
          <w:iCs/>
          <w:sz w:val="20"/>
          <w:szCs w:val="20"/>
        </w:rPr>
      </w:r>
    </w:p>
    <w:tbl>
      <w:tblPr>
        <w:tblW w:w="8505" w:type="dxa"/>
        <w:jc w:val="center"/>
        <w:tblInd w:w="0" w:type="dxa"/>
        <w:tblLayout w:type="fixed"/>
        <w:tblCellMar>
          <w:top w:w="0" w:type="dxa"/>
          <w:left w:w="70" w:type="dxa"/>
          <w:bottom w:w="0" w:type="dxa"/>
          <w:right w:w="70" w:type="dxa"/>
        </w:tblCellMar>
      </w:tblPr>
      <w:tblGrid>
        <w:gridCol w:w="5017"/>
        <w:gridCol w:w="1644"/>
        <w:gridCol w:w="1844"/>
      </w:tblGrid>
      <w:tr>
        <w:trPr>
          <w:trHeight w:val="254"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20"/>
                <w:szCs w:val="20"/>
              </w:rPr>
            </w:pPr>
            <w:r>
              <w:rPr>
                <w:rFonts w:cs="Tahoma" w:ascii="Tahoma" w:hAnsi="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b/>
                <w:sz w:val="20"/>
                <w:szCs w:val="20"/>
              </w:rPr>
            </w:pPr>
            <w:r>
              <w:rPr>
                <w:rFonts w:cs="Tahoma" w:ascii="Tahoma" w:hAnsi="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b/>
                <w:sz w:val="20"/>
                <w:szCs w:val="20"/>
              </w:rPr>
            </w:pPr>
            <w:r>
              <w:rPr>
                <w:rFonts w:cs="Tahoma" w:ascii="Tahoma" w:hAnsi="Tahoma"/>
                <w:b/>
                <w:sz w:val="20"/>
                <w:szCs w:val="20"/>
              </w:rPr>
              <w:t>PUNTAJE TOTAL</w:t>
            </w:r>
          </w:p>
        </w:tc>
      </w:tr>
      <w:tr>
        <w:trPr>
          <w:trHeight w:val="13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sz w:val="20"/>
                <w:szCs w:val="20"/>
              </w:rPr>
            </w:pPr>
            <w:r>
              <w:rPr>
                <w:rFonts w:cs="Tahoma" w:ascii="Tahoma" w:hAnsi="Tahoma"/>
                <w:b/>
                <w:sz w:val="20"/>
                <w:szCs w:val="20"/>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b/>
                <w:sz w:val="20"/>
                <w:szCs w:val="20"/>
              </w:rPr>
            </w:pPr>
            <w:r>
              <w:rPr>
                <w:rFonts w:cs="Tahoma" w:ascii="Tahoma" w:hAnsi="Tahoma"/>
                <w:b/>
                <w:sz w:val="20"/>
                <w:szCs w:val="20"/>
              </w:rPr>
            </w:r>
          </w:p>
          <w:p>
            <w:pPr>
              <w:pStyle w:val="Normal"/>
              <w:jc w:val="center"/>
              <w:rPr>
                <w:rFonts w:ascii="Tahoma" w:hAnsi="Tahoma" w:cs="Tahoma"/>
                <w:sz w:val="20"/>
                <w:szCs w:val="20"/>
              </w:rPr>
            </w:pPr>
            <w:r>
              <w:rPr>
                <w:rFonts w:cs="Tahoma" w:ascii="Tahoma" w:hAnsi="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b/>
                <w:sz w:val="20"/>
                <w:szCs w:val="20"/>
              </w:rPr>
            </w:pPr>
            <w:r>
              <w:rPr>
                <w:rFonts w:cs="Tahoma" w:ascii="Tahoma" w:hAnsi="Tahoma"/>
                <w:b/>
                <w:sz w:val="20"/>
                <w:szCs w:val="20"/>
              </w:rPr>
            </w:r>
          </w:p>
          <w:p>
            <w:pPr>
              <w:pStyle w:val="Normal"/>
              <w:jc w:val="center"/>
              <w:rPr>
                <w:rFonts w:ascii="Tahoma" w:hAnsi="Tahoma" w:cs="Tahoma"/>
                <w:b/>
                <w:sz w:val="20"/>
                <w:szCs w:val="20"/>
              </w:rPr>
            </w:pPr>
            <w:r>
              <w:rPr>
                <w:rFonts w:cs="Tahoma" w:ascii="Tahoma" w:hAnsi="Tahoma"/>
                <w:b/>
                <w:sz w:val="20"/>
                <w:szCs w:val="20"/>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color w:val="000000"/>
                <w:sz w:val="20"/>
                <w:szCs w:val="20"/>
                <w:lang w:val="es-BO" w:eastAsia="es-BO"/>
              </w:rPr>
            </w:pPr>
            <w:r>
              <w:rPr>
                <w:rFonts w:cs="Tahoma" w:ascii="Tahoma" w:hAnsi="Tahoma"/>
                <w:b/>
                <w:bCs/>
                <w:color w:val="000000"/>
                <w:sz w:val="20"/>
                <w:szCs w:val="20"/>
                <w:lang w:val="es-BO" w:eastAsia="es-BO"/>
              </w:rPr>
              <w:t>Formación</w:t>
            </w:r>
          </w:p>
        </w:tc>
        <w:tc>
          <w:tcPr>
            <w:tcW w:w="16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rPr/>
            </w:pPr>
            <w:r>
              <w:rPr/>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rPr/>
            </w:pPr>
            <w:r>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sz w:val="20"/>
                <w:szCs w:val="20"/>
              </w:rPr>
            </w:pPr>
            <w:r>
              <w:rPr>
                <w:rFonts w:cs="Tahoma" w:ascii="Tahoma" w:hAnsi="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sz w:val="20"/>
                <w:szCs w:val="20"/>
              </w:rPr>
            </w:pPr>
            <w:r>
              <w:rPr>
                <w:rFonts w:cs="Tahoma" w:ascii="Tahoma" w:hAnsi="Tahoma"/>
                <w:sz w:val="20"/>
                <w:szCs w:val="20"/>
              </w:rPr>
            </w:r>
          </w:p>
        </w:tc>
        <w:tc>
          <w:tcPr>
            <w:tcW w:w="18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rFonts w:ascii="Tahoma" w:hAnsi="Tahoma" w:cs="Tahoma"/>
                <w:b/>
                <w:sz w:val="20"/>
                <w:szCs w:val="20"/>
              </w:rPr>
            </w:pPr>
            <w:r>
              <w:rPr>
                <w:rFonts w:cs="Tahoma" w:ascii="Tahoma" w:hAnsi="Tahoma"/>
                <w:b/>
                <w:sz w:val="20"/>
                <w:szCs w:val="20"/>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20"/>
                <w:szCs w:val="20"/>
                <w:lang w:val="es-BO"/>
              </w:rPr>
            </w:pPr>
            <w:r>
              <w:rPr>
                <w:rFonts w:cs="Tahoma" w:ascii="Tahoma" w:hAnsi="Tahoma"/>
                <w:sz w:val="20"/>
                <w:szCs w:val="20"/>
                <w:lang w:val="es-BO"/>
              </w:rPr>
              <w:t>FORMACIÓN ADICIONAL</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sz w:val="20"/>
                <w:szCs w:val="20"/>
              </w:rPr>
            </w:pPr>
            <w:r>
              <w:rPr>
                <w:sz w:val="20"/>
                <w:szCs w:val="20"/>
              </w:rPr>
              <w:t>8</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rPr/>
            </w:pPr>
            <w:r>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20"/>
                <w:szCs w:val="20"/>
                <w:lang w:val="es-BO"/>
              </w:rPr>
            </w:pPr>
            <w:r>
              <w:rPr>
                <w:rFonts w:cs="Tahoma" w:ascii="Tahoma" w:hAnsi="Tahoma"/>
                <w:sz w:val="20"/>
                <w:szCs w:val="20"/>
                <w:lang w:val="es-BO"/>
              </w:rPr>
              <w:t>EXPERIENCIA LABORAL</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jc w:val="center"/>
              <w:rPr>
                <w:sz w:val="20"/>
                <w:szCs w:val="20"/>
              </w:rPr>
            </w:pPr>
            <w:r>
              <w:rPr>
                <w:sz w:val="20"/>
                <w:szCs w:val="20"/>
              </w:rPr>
              <w:t>2</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rPr/>
            </w:pPr>
            <w:r>
              <w:rPr/>
            </w:r>
          </w:p>
        </w:tc>
      </w:tr>
      <w:tr>
        <w:trPr>
          <w:trHeight w:val="165" w:hRule="atLeast"/>
        </w:trPr>
        <w:tc>
          <w:tcPr>
            <w:tcW w:w="5017" w:type="dxa"/>
            <w:tcBorders>
              <w:left w:val="single" w:sz="4" w:space="0" w:color="000000"/>
              <w:bottom w:val="single" w:sz="4" w:space="0" w:color="000000"/>
              <w:right w:val="single" w:sz="4" w:space="0" w:color="000000"/>
            </w:tcBorders>
          </w:tcPr>
          <w:p>
            <w:pPr>
              <w:pStyle w:val="Normal"/>
              <w:rPr>
                <w:rFonts w:ascii="Tahoma" w:hAnsi="Tahoma" w:cs="Tahoma"/>
                <w:sz w:val="20"/>
                <w:szCs w:val="20"/>
                <w:lang w:val="es-BO"/>
              </w:rPr>
            </w:pPr>
            <w:r>
              <w:rPr>
                <w:rFonts w:cs="Tahoma" w:ascii="Tahoma" w:hAnsi="Tahoma"/>
                <w:sz w:val="20"/>
                <w:szCs w:val="20"/>
                <w:lang w:val="es-BO"/>
              </w:rPr>
              <w:t>ENTREVISTA</w:t>
            </w:r>
          </w:p>
        </w:tc>
        <w:tc>
          <w:tcPr>
            <w:tcW w:w="1644" w:type="dxa"/>
            <w:tcBorders>
              <w:left w:val="single" w:sz="4" w:space="0" w:color="000000"/>
              <w:bottom w:val="single" w:sz="4" w:space="0" w:color="000000"/>
              <w:right w:val="single" w:sz="4" w:space="0" w:color="000000"/>
            </w:tcBorders>
            <w:shd w:fill="FFFFFF" w:val="clear"/>
            <w:vAlign w:val="center"/>
          </w:tcPr>
          <w:p>
            <w:pPr>
              <w:pStyle w:val="Normal"/>
              <w:jc w:val="center"/>
              <w:rPr>
                <w:sz w:val="20"/>
                <w:szCs w:val="20"/>
              </w:rPr>
            </w:pPr>
            <w:r>
              <w:rPr>
                <w:sz w:val="20"/>
                <w:szCs w:val="20"/>
              </w:rPr>
              <w:t>25</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rPr/>
            </w:pPr>
            <w:r>
              <w:rPr/>
            </w:r>
          </w:p>
        </w:tc>
      </w:tr>
      <w:tr>
        <w:trPr>
          <w:trHeight w:val="165" w:hRule="atLeast"/>
        </w:trPr>
        <w:tc>
          <w:tcPr>
            <w:tcW w:w="6661" w:type="dxa"/>
            <w:gridSpan w:val="2"/>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sz w:val="20"/>
                <w:szCs w:val="20"/>
              </w:rPr>
            </w:pPr>
            <w:r>
              <w:rPr>
                <w:rFonts w:cs="Tahoma" w:ascii="Tahoma" w:hAnsi="Tahoma"/>
                <w:b/>
                <w:sz w:val="20"/>
                <w:szCs w:val="20"/>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20"/>
                <w:szCs w:val="20"/>
              </w:rPr>
            </w:pPr>
            <w:r>
              <w:rPr>
                <w:rFonts w:cs="Tahoma" w:ascii="Tahoma" w:hAnsi="Tahoma"/>
                <w:b/>
                <w:sz w:val="20"/>
                <w:szCs w:val="20"/>
              </w:rPr>
              <w:t>70 puntos</w:t>
            </w:r>
          </w:p>
        </w:tc>
      </w:tr>
    </w:tbl>
    <w:p>
      <w:pPr>
        <w:pStyle w:val="Normal"/>
        <w:tabs>
          <w:tab w:val="clear" w:pos="709"/>
          <w:tab w:val="left" w:pos="1906" w:leader="none"/>
          <w:tab w:val="right" w:pos="6946" w:leader="none"/>
        </w:tabs>
        <w:ind w:hanging="0" w:left="142" w:right="0"/>
        <w:rPr>
          <w:rFonts w:ascii="Tahoma" w:hAnsi="Tahoma" w:cs="Tahoma"/>
          <w:sz w:val="16"/>
          <w:szCs w:val="16"/>
          <w:lang w:val="es-BO"/>
        </w:rPr>
      </w:pPr>
      <w:r>
        <w:rPr>
          <w:rFonts w:cs="Tahoma" w:ascii="Tahoma" w:hAnsi="Tahoma"/>
          <w:sz w:val="16"/>
          <w:szCs w:val="16"/>
          <w:lang w:val="es-BO"/>
        </w:rPr>
        <w:t xml:space="preserve">             </w:t>
      </w:r>
    </w:p>
    <w:p>
      <w:pPr>
        <w:pStyle w:val="Normal"/>
        <w:shd w:val="clear" w:fill="FFFFFF"/>
        <w:tabs>
          <w:tab w:val="clear" w:pos="709"/>
          <w:tab w:val="left" w:pos="1906" w:leader="none"/>
          <w:tab w:val="right" w:pos="6946" w:leader="none"/>
        </w:tabs>
        <w:spacing w:before="40" w:after="40"/>
        <w:ind w:hanging="0" w:left="142" w:right="0"/>
        <w:rPr>
          <w:rFonts w:ascii="Tahoma" w:hAnsi="Tahoma" w:eastAsia="Times New Roman" w:cs="Tahoma"/>
          <w:b/>
          <w:sz w:val="20"/>
          <w:szCs w:val="20"/>
          <w:u w:val="single"/>
          <w:lang w:val="es-MX"/>
        </w:rPr>
      </w:pPr>
      <w:r>
        <w:rPr>
          <w:rFonts w:eastAsia="Times New Roman" w:cs="Tahoma" w:ascii="Tahoma" w:hAnsi="Tahoma"/>
          <w:b/>
          <w:sz w:val="20"/>
          <w:szCs w:val="20"/>
          <w:u w:val="single"/>
          <w:lang w:val="es-MX"/>
        </w:rPr>
      </w:r>
    </w:p>
    <w:p>
      <w:pPr>
        <w:pStyle w:val="Normal"/>
        <w:tabs>
          <w:tab w:val="clear" w:pos="709"/>
          <w:tab w:val="left" w:pos="1290" w:leader="none"/>
        </w:tabs>
        <w:rPr/>
      </w:pPr>
      <w:r>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r>
        <w:rPr>
          <w:rFonts w:cs="Arial"/>
          <w:b/>
          <w:szCs w:val="18"/>
          <w:lang w:val="es-BO"/>
        </w:rPr>
        <w:t>P</w:t>
      </w:r>
      <w:bookmarkStart w:id="104" w:name="_Toc355779900"/>
      <w:bookmarkStart w:id="105" w:name="_Toc347485812"/>
      <w:r>
        <w:rPr>
          <w:rFonts w:cs="Arial"/>
          <w:b/>
          <w:szCs w:val="18"/>
          <w:lang w:val="es-BO"/>
        </w:rPr>
        <w:t>ARTE III</w:t>
      </w:r>
      <w:bookmarkEnd w:id="104"/>
      <w:bookmarkEnd w:id="105"/>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3"/>
        <w:gridCol w:w="416"/>
        <w:gridCol w:w="38"/>
        <w:gridCol w:w="360"/>
        <w:gridCol w:w="401"/>
        <w:gridCol w:w="399"/>
        <w:gridCol w:w="401"/>
        <w:gridCol w:w="399"/>
        <w:gridCol w:w="414"/>
        <w:gridCol w:w="398"/>
        <w:gridCol w:w="403"/>
        <w:gridCol w:w="397"/>
        <w:gridCol w:w="434"/>
        <w:gridCol w:w="427"/>
        <w:gridCol w:w="401"/>
        <w:gridCol w:w="235"/>
        <w:gridCol w:w="415"/>
        <w:gridCol w:w="240"/>
        <w:gridCol w:w="362"/>
        <w:gridCol w:w="72"/>
        <w:gridCol w:w="230"/>
        <w:gridCol w:w="23"/>
      </w:tblGrid>
      <w:tr>
        <w:trPr>
          <w:trHeight w:val="305" w:hRule="atLeast"/>
        </w:trPr>
        <w:tc>
          <w:tcPr>
            <w:tcW w:w="10165"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Cs/>
                <w:sz w:val="16"/>
                <w:lang w:val="es-BO"/>
              </w:rPr>
            </w:pPr>
            <w:r>
              <w:rPr>
                <w:rFonts w:cs="Arial" w:ascii="Arial" w:hAnsi="Arial"/>
                <w:b/>
                <w:bCs/>
                <w:sz w:val="16"/>
                <w:lang w:val="es-BO"/>
              </w:rPr>
              <w:t>DATOS DEL OBJETO DE LA CONTRATACIÓN</w:t>
            </w:r>
          </w:p>
        </w:tc>
        <w:tc>
          <w:tcPr>
            <w:tcW w:w="23" w:type="dxa"/>
            <w:tcBorders/>
          </w:tcPr>
          <w:p>
            <w:pPr>
              <w:pStyle w:val="Normal"/>
              <w:rPr/>
            </w:pPr>
            <w:r>
              <w:rPr/>
            </w:r>
          </w:p>
        </w:tc>
      </w:tr>
      <w:tr>
        <w:trPr>
          <w:trHeight w:val="35" w:hRule="atLeast"/>
        </w:trPr>
        <w:tc>
          <w:tcPr>
            <w:tcW w:w="10165"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sz w:val="8"/>
                <w:lang w:val="es-BO"/>
              </w:rPr>
            </w:r>
          </w:p>
        </w:tc>
        <w:tc>
          <w:tcPr>
            <w:tcW w:w="23" w:type="dxa"/>
            <w:tcBorders/>
          </w:tcPr>
          <w:p>
            <w:pPr>
              <w:pStyle w:val="Normal"/>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3"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3" w:type="dxa"/>
            <w:gridSpan w:val="24"/>
            <w:tcBorders>
              <w:left w:val="single" w:sz="12" w:space="0" w:color="244061"/>
            </w:tcBorders>
            <w:shd w:color="auto" w:fill="auto" w:val="clear"/>
            <w:vAlign w:val="center"/>
          </w:tcPr>
          <w:p>
            <w:pPr>
              <w:pStyle w:val="Normal"/>
              <w:rPr>
                <w:sz w:val="8"/>
                <w:lang w:val="es-BO"/>
              </w:rPr>
            </w:pPr>
            <w:r>
              <w:rPr>
                <w:sz w:val="8"/>
                <w:lang w:val="es-BO"/>
              </w:rPr>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r>
          </w:p>
        </w:tc>
        <w:tc>
          <w:tcPr>
            <w:tcW w:w="23" w:type="dxa"/>
            <w:tcBorders/>
          </w:tcPr>
          <w:p>
            <w:pPr>
              <w:pStyle w:val="Normal"/>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SEÑALAR EL OBJETO DE LA CONTRATACIÓN:</w:t>
            </w:r>
          </w:p>
        </w:tc>
        <w:tc>
          <w:tcPr>
            <w:tcW w:w="6086"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Cs/>
                <w:lang w:val="es-BO"/>
              </w:rPr>
            </w:pPr>
            <w:r>
              <w:rPr>
                <w:rFonts w:cs="Arial" w:ascii="Arial" w:hAnsi="Arial"/>
                <w:b/>
                <w:bCs/>
                <w:lang w:val="es-BO"/>
              </w:rPr>
            </w:r>
          </w:p>
        </w:tc>
        <w:tc>
          <w:tcPr>
            <w:tcW w:w="302" w:type="dxa"/>
            <w:gridSpan w:val="2"/>
            <w:tcBorders>
              <w:right w:val="single" w:sz="12" w:space="0" w:color="244061"/>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 w:type="dxa"/>
            <w:tcBorders/>
          </w:tcPr>
          <w:p>
            <w:pPr>
              <w:pStyle w:val="Normal"/>
              <w:rPr/>
            </w:pPr>
            <w:r>
              <w:rPr/>
            </w:r>
          </w:p>
        </w:tc>
      </w:tr>
      <w:tr>
        <w:trPr>
          <w:trHeight w:val="46" w:hRule="atLeast"/>
        </w:trPr>
        <w:tc>
          <w:tcPr>
            <w:tcW w:w="10165"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3"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rPr>
          <w:rFonts w:cs="Arial"/>
          <w:b/>
          <w:szCs w:val="18"/>
          <w:lang w:val="es-BO"/>
        </w:rPr>
      </w:pPr>
      <w:r>
        <w:rPr>
          <w:rFonts w:cs="Arial"/>
          <w:b/>
          <w:szCs w:val="18"/>
          <w:lang w:val="es-BO"/>
        </w:rPr>
      </w:r>
    </w:p>
    <w:p>
      <w:pPr>
        <w:pStyle w:val="Normal"/>
        <w:numPr>
          <w:ilvl w:val="0"/>
          <w:numId w:val="23"/>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3"/>
        </w:numPr>
        <w:rPr>
          <w:rFonts w:cs="Arial"/>
          <w:szCs w:val="18"/>
          <w:lang w:val="es-BO"/>
        </w:rPr>
      </w:pPr>
      <w:r>
        <w:rPr>
          <w:rFonts w:cs="Arial"/>
          <w:szCs w:val="18"/>
          <w:lang w:val="es-BO"/>
        </w:rPr>
        <w:t>Declaro no tener conflicto de intereses para el presente proceso de contratación.</w:t>
      </w:r>
    </w:p>
    <w:p>
      <w:pPr>
        <w:pStyle w:val="Normal"/>
        <w:numPr>
          <w:ilvl w:val="0"/>
          <w:numId w:val="23"/>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3"/>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3"/>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3"/>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3"/>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3"/>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3"/>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2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2"/>
        </w:numPr>
        <w:rPr>
          <w:rFonts w:cs="Arial"/>
          <w:szCs w:val="18"/>
          <w:lang w:val="es-BO"/>
        </w:rPr>
      </w:pPr>
      <w:r>
        <w:rPr>
          <w:rFonts w:cs="Arial"/>
          <w:szCs w:val="18"/>
          <w:lang w:val="es-BO"/>
        </w:rPr>
        <w:t>Fotocopia simple del Carnet de Identidad.</w:t>
      </w:r>
    </w:p>
    <w:p>
      <w:pPr>
        <w:pStyle w:val="Normal"/>
        <w:numPr>
          <w:ilvl w:val="0"/>
          <w:numId w:val="22"/>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4"/>
        <w:gridCol w:w="335"/>
        <w:gridCol w:w="390"/>
        <w:gridCol w:w="280"/>
        <w:gridCol w:w="363"/>
        <w:gridCol w:w="374"/>
        <w:gridCol w:w="319"/>
        <w:gridCol w:w="372"/>
        <w:gridCol w:w="373"/>
        <w:gridCol w:w="7"/>
        <w:gridCol w:w="311"/>
        <w:gridCol w:w="375"/>
        <w:gridCol w:w="370"/>
        <w:gridCol w:w="372"/>
        <w:gridCol w:w="374"/>
        <w:gridCol w:w="370"/>
        <w:gridCol w:w="373"/>
        <w:gridCol w:w="321"/>
        <w:gridCol w:w="370"/>
        <w:gridCol w:w="321"/>
        <w:gridCol w:w="370"/>
        <w:gridCol w:w="261"/>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35"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80"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61" w:type="dxa"/>
            <w:tcBorders>
              <w:right w:val="single" w:sz="12" w:space="0" w:color="000000"/>
            </w:tcBorders>
            <w:shd w:color="auto" w:fill="auto" w:val="clear"/>
            <w:vAlign w:val="center"/>
          </w:tcPr>
          <w:p>
            <w:pPr>
              <w:pStyle w:val="Normal"/>
              <w:rPr>
                <w:sz w:val="2"/>
                <w:szCs w:val="2"/>
                <w:lang w:val="es-BO"/>
              </w:rPr>
            </w:pPr>
            <w:r>
              <w:rPr>
                <w:sz w:val="2"/>
                <w:szCs w:val="2"/>
                <w:lang w:val="es-BO"/>
              </w:rPr>
            </w:r>
          </w:p>
        </w:tc>
      </w:tr>
      <w:tr>
        <w:trPr>
          <w:trHeight w:val="298" w:hRule="atLeast"/>
        </w:trPr>
        <w:tc>
          <w:tcPr>
            <w:tcW w:w="3010"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Nombre del proponente:</w:t>
            </w:r>
          </w:p>
        </w:tc>
        <w:tc>
          <w:tcPr>
            <w:tcW w:w="6405"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70" w:hRule="atLeast"/>
        </w:trPr>
        <w:tc>
          <w:tcPr>
            <w:tcW w:w="3010" w:type="dxa"/>
            <w:gridSpan w:val="9"/>
            <w:vMerge w:val="restart"/>
            <w:tcBorders>
              <w:lef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158"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5"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6"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216"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5"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86"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3"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Cs/>
                <w:lang w:val="es-BO"/>
              </w:rPr>
            </w:pPr>
            <w:r>
              <w:rPr>
                <w:rFonts w:cs="Arial" w:ascii="Arial" w:hAnsi="Arial"/>
                <w:b/>
                <w:bCs/>
                <w:lang w:val="es-BO"/>
              </w:rPr>
              <w:t>Domicilio:</w:t>
            </w:r>
          </w:p>
        </w:tc>
        <w:tc>
          <w:tcPr>
            <w:tcW w:w="674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r>
          </w:p>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4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Teléfonos</w:t>
            </w:r>
          </w:p>
        </w:tc>
        <w:tc>
          <w:tcPr>
            <w:tcW w:w="374"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5"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61"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4"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61"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8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98" w:hRule="atLeast"/>
        </w:trPr>
        <w:tc>
          <w:tcPr>
            <w:tcW w:w="3010" w:type="dxa"/>
            <w:gridSpan w:val="9"/>
            <w:vMerge w:val="restart"/>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71"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r>
      <w:tr>
        <w:trPr>
          <w:trHeight w:val="267" w:hRule="atLeast"/>
        </w:trPr>
        <w:tc>
          <w:tcPr>
            <w:tcW w:w="3010"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1753"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670"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1" w:type="dxa"/>
            <w:tcBorders>
              <w:bottom w:val="single" w:sz="12" w:space="0" w:color="000000"/>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3"/>
              </w:numPr>
              <w:suppressAutoHyphens w:val="true"/>
              <w:spacing w:lineRule="exact" w:line="200" w:before="0" w:after="0"/>
              <w:ind w:hanging="283" w:lef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suppressAutoHyphens w:val="true"/>
              <w:bidi w:val="0"/>
              <w:spacing w:lineRule="auto" w:line="240"/>
              <w:ind w:hanging="0" w:left="283" w:right="0"/>
              <w:jc w:val="both"/>
              <w:rPr>
                <w:highlight w:val="none"/>
                <w:shd w:fill="auto" w:val="clear"/>
              </w:rPr>
            </w:pPr>
            <w:r>
              <w:rPr>
                <w:rFonts w:eastAsia="Times New Roman" w:cs="Tahoma" w:ascii="Tahoma" w:hAnsi="Tahoma"/>
                <w:color w:val="000000"/>
                <w:sz w:val="20"/>
                <w:szCs w:val="20"/>
                <w:shd w:fill="auto" w:val="clear"/>
                <w:lang w:val="es-BO" w:eastAsia="es-BO"/>
              </w:rPr>
              <w:t>Profesional a nivel de Licenciatura con Título en Provisión Nacional de la carrera del Área de Ciencias Económicas, Financieras, Auditoría o Contaduría Pública y/o Ciencias Jurídicas.</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3"/>
              </w:numPr>
              <w:suppressAutoHyphens w:val="true"/>
              <w:spacing w:lineRule="exact" w:line="200" w:before="0" w:after="0"/>
              <w:ind w:hanging="283" w:lef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suppressAutoHyphens w:val="true"/>
              <w:spacing w:lineRule="exact" w:line="200" w:before="0" w:after="0"/>
              <w:rPr>
                <w:rFonts w:cs="Arial"/>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7"/>
        <w:gridCol w:w="2323"/>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390"/>
        <w:gridCol w:w="4272"/>
        <w:gridCol w:w="1703"/>
        <w:gridCol w:w="2560"/>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sz w:val="16"/>
                <w:lang w:val="es-BO"/>
              </w:rPr>
            </w:pPr>
            <w:r>
              <w:rPr>
                <w:rFonts w:cs="Tahoma" w:ascii="Tahoma" w:hAnsi="Tahoma"/>
                <w:b/>
                <w:sz w:val="16"/>
                <w:lang w:val="es-BO"/>
              </w:rPr>
              <w:t>Para ser llenado por la Entidad convocante</w:t>
            </w:r>
          </w:p>
          <w:p>
            <w:pPr>
              <w:pStyle w:val="Normal"/>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5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139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w:t>
            </w:r>
          </w:p>
        </w:tc>
        <w:tc>
          <w:tcPr>
            <w:tcW w:w="427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Condiciones Adicionales a ser evaluadas (*)</w:t>
            </w:r>
          </w:p>
        </w:tc>
        <w:tc>
          <w:tcPr>
            <w:tcW w:w="1703"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i/>
                <w:i/>
                <w:sz w:val="16"/>
                <w:lang w:val="es-BO"/>
              </w:rPr>
            </w:pPr>
            <w:r>
              <w:rPr>
                <w:rFonts w:cs="Tahoma" w:ascii="Tahoma" w:hAnsi="Tahoma"/>
                <w:b/>
                <w:sz w:val="16"/>
                <w:lang w:val="es-BO"/>
              </w:rPr>
              <w:t>Puntaje asignado (definir puntaje) (**)</w:t>
            </w:r>
          </w:p>
        </w:tc>
        <w:tc>
          <w:tcPr>
            <w:tcW w:w="25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139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highlight w:val="none"/>
                <w:shd w:fill="auto" w:val="clear"/>
              </w:rPr>
            </w:pPr>
            <w:r>
              <w:rPr>
                <w:rFonts w:eastAsia="Times New Roman" w:cs="Tahoma" w:ascii="Tahoma" w:hAnsi="Tahoma"/>
                <w:b/>
                <w:bCs/>
                <w:color w:val="000000"/>
                <w:sz w:val="18"/>
                <w:szCs w:val="18"/>
                <w:shd w:fill="auto" w:val="clear"/>
                <w:lang w:val="es-ES" w:eastAsia="en-US"/>
              </w:rPr>
              <w:t>A. FORMACIÓN ADICIONAL</w:t>
            </w:r>
          </w:p>
        </w:tc>
        <w:tc>
          <w:tcPr>
            <w:tcW w:w="4272" w:type="dxa"/>
            <w:tcBorders>
              <w:top w:val="single" w:sz="4" w:space="0" w:color="000000"/>
              <w:left w:val="single" w:sz="4" w:space="0" w:color="000000"/>
              <w:bottom w:val="single" w:sz="4" w:space="0" w:color="000000"/>
              <w:right w:val="single" w:sz="4" w:space="0" w:color="000000"/>
            </w:tcBorders>
            <w:vAlign w:val="center"/>
          </w:tcPr>
          <w:p>
            <w:pPr>
              <w:pStyle w:val="Normal"/>
              <w:jc w:val="left"/>
              <w:rPr>
                <w:highlight w:val="none"/>
                <w:shd w:fill="auto" w:val="clear"/>
              </w:rPr>
            </w:pPr>
            <w:r>
              <w:rPr>
                <w:rFonts w:cs="Tahoma" w:ascii="Tahoma" w:hAnsi="Tahoma"/>
                <w:b/>
                <w:bCs/>
                <w:color w:val="000000"/>
                <w:sz w:val="16"/>
                <w:shd w:fill="auto" w:val="clear"/>
                <w:lang w:val="es-BO" w:eastAsia="es-BO"/>
              </w:rPr>
              <w:t>FORMACIÓN ADICIONAL</w:t>
            </w:r>
          </w:p>
        </w:tc>
        <w:tc>
          <w:tcPr>
            <w:tcW w:w="1703"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16"/>
                <w:highlight w:val="yellow"/>
                <w:lang w:val="es-BO"/>
              </w:rPr>
            </w:pPr>
            <w:r>
              <w:rPr>
                <w:rFonts w:cs="Tahoma" w:ascii="Tahoma" w:hAnsi="Tahoma"/>
                <w:b/>
                <w:sz w:val="16"/>
                <w:highlight w:val="yellow"/>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top w:val="single" w:sz="8" w:space="0" w:color="000000"/>
              <w:left w:val="single" w:sz="8" w:space="0" w:color="000000"/>
              <w:bottom w:val="single" w:sz="8" w:space="0" w:color="000000"/>
              <w:right w:val="single" w:sz="8" w:space="0" w:color="000000"/>
            </w:tcBorders>
          </w:tcPr>
          <w:p>
            <w:pPr>
              <w:pStyle w:val="Standard1"/>
              <w:suppressAutoHyphens w:val="false"/>
              <w:spacing w:before="0" w:after="0"/>
              <w:ind w:hanging="0" w:left="0" w:right="83"/>
              <w:jc w:val="both"/>
              <w:rPr>
                <w:rFonts w:ascii="Tahoma" w:hAnsi="Tahoma" w:cs="Tahoma"/>
                <w:sz w:val="16"/>
                <w:szCs w:val="16"/>
                <w:lang w:val="es-BO"/>
              </w:rPr>
            </w:pPr>
            <w:r>
              <w:rPr>
                <w:rFonts w:cs="Tahoma" w:ascii="Tahoma" w:hAnsi="Tahoma"/>
                <w:sz w:val="16"/>
                <w:szCs w:val="16"/>
                <w:lang w:val="es-BO"/>
              </w:rPr>
              <w:t>Diplomado Administración Tributaria</w:t>
            </w:r>
          </w:p>
        </w:tc>
        <w:tc>
          <w:tcPr>
            <w:tcW w:w="1703" w:type="dxa"/>
            <w:tcBorders>
              <w:top w:val="single" w:sz="8" w:space="0" w:color="000000"/>
              <w:left w:val="single" w:sz="8" w:space="0" w:color="000000"/>
              <w:bottom w:val="single" w:sz="8" w:space="0" w:color="000000"/>
              <w:right w:val="single" w:sz="8" w:space="0" w:color="000000"/>
            </w:tcBorders>
          </w:tcPr>
          <w:p>
            <w:pPr>
              <w:pStyle w:val="Standard1"/>
              <w:jc w:val="center"/>
              <w:rPr>
                <w:rFonts w:ascii="Tahoma" w:hAnsi="Tahoma" w:cs="Tahoma"/>
                <w:b/>
                <w:color w:val="000000"/>
                <w:sz w:val="16"/>
                <w:szCs w:val="16"/>
                <w:lang w:val="es-BO"/>
              </w:rPr>
            </w:pPr>
            <w:r>
              <w:rPr>
                <w:rFonts w:cs="Tahoma" w:ascii="Tahoma" w:hAnsi="Tahoma"/>
                <w:b/>
                <w:color w:val="000000"/>
                <w:sz w:val="16"/>
                <w:szCs w:val="16"/>
                <w:lang w:val="es-BO"/>
              </w:rPr>
              <w:t>2</w:t>
            </w:r>
          </w:p>
          <w:p>
            <w:pPr>
              <w:pStyle w:val="Standard1"/>
              <w:jc w:val="center"/>
              <w:rPr>
                <w:rFonts w:ascii="Tahoma" w:hAnsi="Tahoma" w:cs="Tahoma"/>
                <w:b/>
                <w:color w:val="FFFFFF"/>
                <w:sz w:val="16"/>
                <w:szCs w:val="16"/>
                <w:lang w:val="es-BO"/>
              </w:rPr>
            </w:pPr>
            <w:r>
              <w:rPr>
                <w:rFonts w:cs="Tahoma" w:ascii="Tahoma" w:hAnsi="Tahoma"/>
                <w:b/>
                <w:color w:val="FFFFFF"/>
                <w:sz w:val="16"/>
                <w:szCs w:val="16"/>
                <w:lang w:val="es-BO"/>
              </w:rPr>
              <w:t>25</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8" w:space="0" w:color="000000"/>
              <w:bottom w:val="single" w:sz="8" w:space="0" w:color="000000"/>
              <w:right w:val="single" w:sz="8" w:space="0" w:color="000000"/>
            </w:tcBorders>
          </w:tcPr>
          <w:p>
            <w:pPr>
              <w:pStyle w:val="ListParagraph"/>
              <w:numPr>
                <w:ilvl w:val="0"/>
                <w:numId w:val="0"/>
              </w:numPr>
              <w:suppressAutoHyphens w:val="false"/>
              <w:spacing w:before="0" w:after="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703" w:type="dxa"/>
            <w:tcBorders>
              <w:top w:val="single" w:sz="4" w:space="0" w:color="000000"/>
              <w:left w:val="single" w:sz="8" w:space="0" w:color="000000"/>
              <w:bottom w:val="single" w:sz="8" w:space="0" w:color="000000"/>
              <w:right w:val="single" w:sz="8" w:space="0" w:color="000000"/>
            </w:tcBorders>
          </w:tcPr>
          <w:p>
            <w:pPr>
              <w:pStyle w:val="Standard1"/>
              <w:jc w:val="center"/>
              <w:rPr>
                <w:rFonts w:ascii="Tahoma" w:hAnsi="Tahoma"/>
                <w:b/>
                <w:bCs/>
                <w:sz w:val="16"/>
                <w:szCs w:val="16"/>
              </w:rPr>
            </w:pPr>
            <w:r>
              <w:rPr>
                <w:rFonts w:ascii="Tahoma" w:hAnsi="Tahoma"/>
                <w:b/>
                <w:bCs/>
                <w:sz w:val="16"/>
                <w:szCs w:val="16"/>
              </w:rPr>
              <w:t>2</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703" w:type="dxa"/>
            <w:tcBorders>
              <w:left w:val="single" w:sz="8" w:space="0" w:color="000000"/>
              <w:bottom w:val="single" w:sz="8" w:space="0" w:color="000000"/>
              <w:right w:val="single" w:sz="8" w:space="0" w:color="000000"/>
            </w:tcBorders>
          </w:tcPr>
          <w:p>
            <w:pPr>
              <w:pStyle w:val="Standard1"/>
              <w:jc w:val="center"/>
              <w:rPr>
                <w:rFonts w:ascii="Tahoma" w:hAnsi="Tahoma"/>
                <w:b/>
                <w:bCs/>
                <w:sz w:val="16"/>
                <w:szCs w:val="16"/>
              </w:rPr>
            </w:pPr>
            <w:r>
              <w:rPr>
                <w:rFonts w:ascii="Tahoma" w:hAnsi="Tahoma"/>
                <w:b/>
                <w:bCs/>
                <w:sz w:val="16"/>
                <w:szCs w:val="16"/>
              </w:rPr>
              <w:t>2</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703" w:type="dxa"/>
            <w:tcBorders>
              <w:left w:val="single" w:sz="8" w:space="0" w:color="000000"/>
              <w:bottom w:val="single" w:sz="8" w:space="0" w:color="000000"/>
              <w:right w:val="single" w:sz="8" w:space="0" w:color="000000"/>
            </w:tcBorders>
          </w:tcPr>
          <w:p>
            <w:pPr>
              <w:pStyle w:val="Standard1"/>
              <w:jc w:val="center"/>
              <w:rPr>
                <w:rFonts w:ascii="Tahoma" w:hAnsi="Tahoma"/>
                <w:b/>
                <w:bCs/>
                <w:sz w:val="16"/>
                <w:szCs w:val="16"/>
              </w:rPr>
            </w:pPr>
            <w:r>
              <w:rPr>
                <w:rFonts w:ascii="Tahoma" w:hAnsi="Tahoma"/>
                <w:b/>
                <w:bCs/>
                <w:sz w:val="16"/>
                <w:szCs w:val="16"/>
              </w:rPr>
              <w:t>1</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39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4272" w:type="dxa"/>
            <w:tcBorders>
              <w:left w:val="single" w:sz="8" w:space="0" w:color="000000"/>
              <w:bottom w:val="single" w:sz="8" w:space="0" w:color="000000"/>
              <w:right w:val="single" w:sz="8" w:space="0" w:color="000000"/>
            </w:tcBorders>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8"/>
                <w:shd w:fill="auto" w:val="clear"/>
                <w:lang w:eastAsia="es-BO"/>
              </w:rPr>
            </w:pPr>
            <w:r>
              <w:rPr>
                <w:rFonts w:cs="Tahoma" w:ascii="Tahoma" w:hAnsi="Tahoma"/>
                <w:bCs/>
                <w:sz w:val="16"/>
                <w:szCs w:val="18"/>
                <w:shd w:fill="auto" w:val="clear"/>
                <w:lang w:eastAsia="es-BO"/>
              </w:rPr>
              <w:t>Curso o Taller en herramientas Ofimáticas (Word y Excel)</w:t>
            </w:r>
          </w:p>
        </w:tc>
        <w:tc>
          <w:tcPr>
            <w:tcW w:w="1703" w:type="dxa"/>
            <w:tcBorders>
              <w:left w:val="single" w:sz="8" w:space="0" w:color="000000"/>
              <w:bottom w:val="single" w:sz="8" w:space="0" w:color="000000"/>
              <w:right w:val="single" w:sz="8" w:space="0" w:color="000000"/>
            </w:tcBorders>
          </w:tcPr>
          <w:p>
            <w:pPr>
              <w:pStyle w:val="Standard1"/>
              <w:jc w:val="center"/>
              <w:rPr>
                <w:rFonts w:ascii="Tahoma" w:hAnsi="Tahoma"/>
                <w:b/>
                <w:bCs/>
                <w:sz w:val="16"/>
                <w:szCs w:val="16"/>
                <w:shd w:fill="auto" w:val="clear"/>
              </w:rPr>
            </w:pPr>
            <w:r>
              <w:rPr>
                <w:rFonts w:ascii="Tahoma" w:hAnsi="Tahoma"/>
                <w:b/>
                <w:bCs/>
                <w:sz w:val="16"/>
                <w:szCs w:val="16"/>
                <w:shd w:fill="auto" w:val="clear"/>
              </w:rPr>
              <w:t>1</w:t>
            </w:r>
          </w:p>
        </w:tc>
        <w:tc>
          <w:tcPr>
            <w:tcW w:w="2560"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139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B. EXPERIENCIA LABORAL</w:t>
            </w:r>
          </w:p>
        </w:tc>
        <w:tc>
          <w:tcPr>
            <w:tcW w:w="427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highlight w:val="yellow"/>
              </w:rPr>
            </w:pPr>
            <w:r>
              <w:rPr>
                <w:rFonts w:cs="Tahoma" w:ascii="Tahoma" w:hAnsi="Tahoma"/>
                <w:sz w:val="16"/>
                <w:highlight w:val="yellow"/>
              </w:rPr>
            </w:r>
          </w:p>
        </w:tc>
        <w:tc>
          <w:tcPr>
            <w:tcW w:w="1703"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highlight w:val="none"/>
                <w:shd w:fill="auto" w:val="clear"/>
              </w:rPr>
            </w:pPr>
            <w:r>
              <w:rPr>
                <w:rFonts w:cs="Tahoma" w:ascii="Tahoma" w:hAnsi="Tahoma"/>
                <w:b/>
                <w:sz w:val="16"/>
                <w:shd w:fill="auto" w:val="clear"/>
                <w:lang w:val="es-BO"/>
              </w:rPr>
              <w:t>2</w:t>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139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jc w:val="both"/>
              <w:rPr>
                <w:rFonts w:ascii="Tahoma" w:hAnsi="Tahoma"/>
                <w:sz w:val="16"/>
                <w:szCs w:val="16"/>
              </w:rPr>
            </w:pPr>
            <w:r>
              <w:rPr>
                <w:rFonts w:eastAsia="Calibri" w:cs="Tahoma" w:ascii="Tahoma" w:hAnsi="Tahoma"/>
                <w:sz w:val="16"/>
                <w:szCs w:val="16"/>
                <w:lang w:val="es-ES"/>
              </w:rPr>
              <w:t xml:space="preserve">Experiencia laboral </w:t>
            </w:r>
            <w:r>
              <w:rPr>
                <w:rFonts w:eastAsia="Calibri" w:cs="Tahoma" w:ascii="Tahoma" w:hAnsi="Tahoma"/>
                <w:sz w:val="16"/>
                <w:szCs w:val="16"/>
                <w:lang w:val="es-ES" w:eastAsia="es-ES"/>
              </w:rPr>
              <w:t>General a partir de la emisión del Título en Provisión Nacional</w:t>
            </w:r>
            <w:r>
              <w:rPr>
                <w:rFonts w:eastAsia="Calibri" w:cs="Tahoma" w:ascii="Tahoma" w:hAnsi="Tahoma"/>
                <w:sz w:val="16"/>
                <w:szCs w:val="16"/>
                <w:lang w:val="es-ES"/>
              </w:rPr>
              <w:t>.</w:t>
            </w:r>
          </w:p>
          <w:p>
            <w:pPr>
              <w:pStyle w:val="Normal"/>
              <w:widowControl w:val="false"/>
              <w:spacing w:before="0" w:after="0"/>
              <w:jc w:val="both"/>
              <w:rPr>
                <w:rFonts w:ascii="Tahoma" w:hAnsi="Tahoma"/>
                <w:sz w:val="16"/>
                <w:szCs w:val="16"/>
              </w:rPr>
            </w:pPr>
            <w:r>
              <w:rPr>
                <w:rFonts w:eastAsia="Calibri" w:cs="Tahoma" w:ascii="Tahoma" w:hAnsi="Tahoma"/>
                <w:sz w:val="16"/>
                <w:szCs w:val="16"/>
                <w:lang w:val="es-ES"/>
              </w:rPr>
              <w:t xml:space="preserve">De 1 mes hasta 3 meses </w:t>
            </w:r>
            <w:r>
              <w:rPr>
                <w:rFonts w:eastAsia="Calibri" w:cs="Tahoma" w:ascii="Tahoma" w:hAnsi="Tahoma"/>
                <w:b/>
                <w:sz w:val="16"/>
                <w:szCs w:val="16"/>
                <w:lang w:val="es-ES"/>
              </w:rPr>
              <w:t>= 1 punto.</w:t>
            </w:r>
          </w:p>
        </w:tc>
        <w:tc>
          <w:tcPr>
            <w:tcW w:w="1703"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sz w:val="16"/>
                <w:lang w:val="es-BO"/>
              </w:rPr>
            </w:pPr>
            <w:r>
              <w:rPr>
                <w:rFonts w:cs="Tahoma" w:ascii="Tahoma" w:hAnsi="Tahoma"/>
                <w:b/>
                <w:sz w:val="16"/>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139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7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ind w:hanging="20" w:left="20" w:right="0"/>
              <w:rPr>
                <w:rFonts w:ascii="Tahoma" w:hAnsi="Tahoma"/>
                <w:sz w:val="16"/>
                <w:szCs w:val="16"/>
              </w:rPr>
            </w:pPr>
            <w:r>
              <w:rPr>
                <w:rFonts w:cs="Tahoma" w:ascii="Tahoma" w:hAnsi="Tahoma"/>
                <w:sz w:val="16"/>
                <w:szCs w:val="16"/>
              </w:rPr>
              <w:t xml:space="preserve">De </w:t>
            </w:r>
            <w:r>
              <w:rPr>
                <w:rFonts w:eastAsia="Times New Roman" w:cs="Tahoma" w:ascii="Tahoma" w:hAnsi="Tahoma"/>
                <w:sz w:val="16"/>
                <w:szCs w:val="16"/>
                <w:lang w:val="es-ES"/>
              </w:rPr>
              <w:t>3</w:t>
            </w:r>
            <w:r>
              <w:rPr>
                <w:rFonts w:cs="Tahoma" w:ascii="Tahoma" w:hAnsi="Tahoma"/>
                <w:sz w:val="16"/>
                <w:szCs w:val="16"/>
              </w:rPr>
              <w:t xml:space="preserve"> meses hasta </w:t>
            </w:r>
            <w:r>
              <w:rPr>
                <w:rFonts w:eastAsia="Times New Roman" w:cs="Tahoma" w:ascii="Tahoma" w:hAnsi="Tahoma"/>
                <w:sz w:val="16"/>
                <w:szCs w:val="16"/>
                <w:lang w:val="es-ES"/>
              </w:rPr>
              <w:t>8</w:t>
            </w:r>
            <w:r>
              <w:rPr>
                <w:rFonts w:cs="Tahoma" w:ascii="Tahoma" w:hAnsi="Tahoma"/>
                <w:sz w:val="16"/>
                <w:szCs w:val="16"/>
              </w:rPr>
              <w:t xml:space="preserve"> meses = </w:t>
            </w:r>
            <w:r>
              <w:rPr>
                <w:rFonts w:cs="Tahoma" w:ascii="Tahoma" w:hAnsi="Tahoma"/>
                <w:b/>
                <w:bCs/>
                <w:sz w:val="16"/>
                <w:szCs w:val="16"/>
              </w:rPr>
              <w:t>2</w:t>
            </w:r>
            <w:r>
              <w:rPr>
                <w:rFonts w:cs="Tahoma" w:ascii="Tahoma" w:hAnsi="Tahoma"/>
                <w:b/>
                <w:sz w:val="16"/>
                <w:szCs w:val="16"/>
              </w:rPr>
              <w:t xml:space="preserve"> puntos.</w:t>
            </w:r>
          </w:p>
        </w:tc>
        <w:tc>
          <w:tcPr>
            <w:tcW w:w="1703"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sz w:val="16"/>
                <w:lang w:val="es-BO"/>
              </w:rPr>
            </w:pPr>
            <w:r>
              <w:rPr>
                <w:rFonts w:cs="Tahoma" w:ascii="Tahoma" w:hAnsi="Tahoma"/>
                <w:b/>
                <w:sz w:val="16"/>
                <w:lang w:val="es-BO"/>
              </w:rPr>
            </w:r>
          </w:p>
        </w:tc>
        <w:tc>
          <w:tcPr>
            <w:tcW w:w="2560"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139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 ENTREVISTA Y/O EXAMEN</w:t>
            </w:r>
          </w:p>
        </w:tc>
        <w:tc>
          <w:tcPr>
            <w:tcW w:w="4272" w:type="dxa"/>
            <w:tcBorders>
              <w:top w:val="single" w:sz="4" w:space="0" w:color="000000"/>
              <w:left w:val="single" w:sz="4" w:space="0" w:color="000000"/>
              <w:bottom w:val="single" w:sz="4" w:space="0" w:color="000000"/>
              <w:right w:val="single" w:sz="4" w:space="0" w:color="000000"/>
            </w:tcBorders>
            <w:vAlign w:val="center"/>
          </w:tcPr>
          <w:p>
            <w:pPr>
              <w:pStyle w:val="ListParagraph"/>
              <w:numPr>
                <w:ilvl w:val="0"/>
                <w:numId w:val="0"/>
              </w:numPr>
              <w:suppressAutoHyphens w:val="false"/>
              <w:spacing w:before="20" w:after="20"/>
              <w:ind w:hanging="0" w:left="0" w:right="83"/>
              <w:jc w:val="both"/>
              <w:textAlignment w:val="baseline"/>
              <w:rPr>
                <w:rFonts w:ascii="Tahoma" w:hAnsi="Tahoma" w:cs="Tahoma"/>
                <w:bCs/>
                <w:sz w:val="16"/>
                <w:szCs w:val="16"/>
                <w:lang w:eastAsia="es-BO"/>
              </w:rPr>
            </w:pPr>
            <w:r>
              <w:rPr>
                <w:rFonts w:eastAsia="Times New Roman" w:cs="Tahoma" w:ascii="Tahoma" w:hAnsi="Tahoma"/>
                <w:bCs/>
                <w:i/>
                <w:iCs/>
                <w:color w:val="000000"/>
                <w:sz w:val="16"/>
                <w:szCs w:val="16"/>
                <w:lang w:val="es-ES" w:eastAsia="es-BO"/>
              </w:rPr>
              <w:t xml:space="preserve">Entrevista y/o exámen (los candidatos seleccionados serán entrevistados y/o tomarán una prueba de conocimientos, por la Comisión de </w:t>
            </w:r>
            <w:r>
              <w:rPr>
                <w:rFonts w:eastAsia="Times New Roman" w:cs="Tahoma" w:ascii="Tahoma" w:hAnsi="Tahoma"/>
                <w:bCs/>
                <w:i/>
                <w:iCs/>
                <w:color w:val="000000"/>
                <w:sz w:val="16"/>
                <w:szCs w:val="16"/>
                <w:shd w:fill="auto" w:val="clear"/>
                <w:lang w:val="es-ES" w:eastAsia="es-BO"/>
              </w:rPr>
              <w:t>Calificación en instalaciones de la Gerencia Distrital Montero, previo a la fecha de Adjudicación establecido en el cronograma de plazos de la convocatoria). (MANIFESTAR ACEPTACIÓN)</w:t>
            </w:r>
          </w:p>
        </w:tc>
        <w:tc>
          <w:tcPr>
            <w:tcW w:w="17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25</w:t>
            </w:r>
          </w:p>
        </w:tc>
        <w:tc>
          <w:tcPr>
            <w:tcW w:w="25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bl>
    <w:p>
      <w:pPr>
        <w:pStyle w:val="Normal"/>
        <w:spacing w:lineRule="exact" w:line="200"/>
        <w:rPr>
          <w:rFonts w:cs="Arial"/>
          <w:b/>
          <w:szCs w:val="18"/>
          <w:lang w:val="es-BO"/>
        </w:rPr>
      </w:pPr>
      <w:r>
        <w:rPr>
          <w:rFonts w:cs="Arial"/>
          <w:b/>
          <w:szCs w:val="18"/>
          <w:lang w:val="es-BO"/>
        </w:rPr>
      </w:r>
    </w:p>
    <w:p>
      <w:pPr>
        <w:pStyle w:val="Normal"/>
        <w:ind w:lef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V-1</w:t>
        <w:tab/>
        <w:t xml:space="preserve">Formulario de Evaluación Preliminar </w:t>
      </w:r>
    </w:p>
    <w:p>
      <w:pPr>
        <w:pStyle w:val="Normal"/>
        <w:ind w:hanging="2124" w:left="2124"/>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left="2124"/>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6"/>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2"/>
        <w:gridCol w:w="205"/>
        <w:gridCol w:w="37"/>
        <w:gridCol w:w="257"/>
        <w:gridCol w:w="251"/>
        <w:gridCol w:w="249"/>
        <w:gridCol w:w="248"/>
        <w:gridCol w:w="181"/>
        <w:gridCol w:w="63"/>
        <w:gridCol w:w="254"/>
        <w:gridCol w:w="245"/>
        <w:gridCol w:w="247"/>
        <w:gridCol w:w="246"/>
        <w:gridCol w:w="246"/>
        <w:gridCol w:w="83"/>
        <w:gridCol w:w="161"/>
        <w:gridCol w:w="246"/>
        <w:gridCol w:w="243"/>
        <w:gridCol w:w="246"/>
        <w:gridCol w:w="258"/>
        <w:gridCol w:w="242"/>
        <w:gridCol w:w="248"/>
        <w:gridCol w:w="242"/>
        <w:gridCol w:w="261"/>
        <w:gridCol w:w="177"/>
        <w:gridCol w:w="135"/>
        <w:gridCol w:w="15"/>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2" w:type="dxa"/>
            <w:gridSpan w:val="2"/>
            <w:tcBorders>
              <w:left w:val="single" w:sz="4"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c>
          <w:tcPr>
            <w:tcW w:w="15" w:type="dxa"/>
            <w:tcBorders/>
          </w:tcPr>
          <w:p>
            <w:pPr>
              <w:pStyle w:val="Normal"/>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2"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474"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62"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474"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62"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23"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84"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20"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62"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1"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Arial" w:hAnsi="Arial" w:cs="Arial"/>
                <w:b/>
                <w:lang w:val="es-BO"/>
              </w:rPr>
            </w:pPr>
            <w:r>
              <w:rPr>
                <w:rFonts w:cs="Arial" w:ascii="Arial" w:hAnsi="Arial"/>
                <w:b/>
                <w:lang w:val="es-BO"/>
              </w:rPr>
              <w:t>PROPUESTA TÉCNICA</w:t>
            </w:r>
          </w:p>
        </w:tc>
        <w:tc>
          <w:tcPr>
            <w:tcW w:w="5081"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ind w:hanging="340" w:left="340" w:right="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2"/>
        <w:gridCol w:w="1219"/>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0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19"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MODELO DE 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5"/>
        </w:numPr>
        <w:suppressAutoHyphens w:val="true"/>
        <w:spacing w:before="0" w:after="200"/>
        <w:ind w:hanging="425" w:left="425" w:right="-96"/>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35"/>
        </w:numPr>
        <w:suppressAutoHyphens w:val="true"/>
        <w:ind w:hanging="426" w:left="426"/>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w:t>
      </w:r>
      <w:bookmarkStart w:id="107" w:name="_GoBack"/>
      <w:bookmarkEnd w:id="107"/>
      <w:r>
        <w:rPr>
          <w:rFonts w:eastAsia="Verdana" w:cs="Tahoma" w:ascii="Tahoma" w:hAnsi="Tahoma"/>
          <w:sz w:val="20"/>
          <w:szCs w:val="20"/>
          <w:shd w:fill="FFFFFF" w:val="clear"/>
          <w:lang w:val="es-BO" w:eastAsia="en-US"/>
        </w:rPr>
        <w:t>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851" w:left="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4"/>
        </w:numPr>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4"/>
        </w:numPr>
        <w:tabs>
          <w:tab w:val="clear" w:pos="709"/>
          <w:tab w:val="left" w:pos="1646" w:leader="none"/>
        </w:tabs>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4"/>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4"/>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4"/>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4"/>
        </w:numPr>
        <w:tabs>
          <w:tab w:val="clear" w:pos="709"/>
          <w:tab w:val="left" w:pos="1988" w:leader="none"/>
        </w:tabs>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4"/>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5"/>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6"/>
        </w:numPr>
        <w:suppressAutoHyphens w:val="true"/>
        <w:ind w:hanging="426" w:left="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7"/>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8"/>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9"/>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20"/>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1"/>
        </w:numPr>
        <w:suppressAutoHyphens w:val="true"/>
        <w:ind w:hanging="426" w:left="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2"/>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3"/>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4"/>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7"/>
        </w:numPr>
        <w:suppressAutoHyphens w:val="true"/>
        <w:ind w:hanging="510" w:left="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8"/>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5"/>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6"/>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textAlignment w:val="baseline"/>
        <w:rPr>
          <w:rFonts w:eastAsia="Verdana" w:cs="Verdana"/>
          <w:lang w:val="es-BO"/>
        </w:rPr>
      </w:pPr>
      <w:r>
        <w:rPr>
          <w:rFonts w:eastAsia="Verdana" w:cs="Verdana"/>
          <w:lang w:val="es-BO"/>
        </w:rPr>
      </w:r>
    </w:p>
    <w:p>
      <w:pPr>
        <w:pStyle w:val="Normal"/>
        <w:widowControl w:val="false"/>
        <w:numPr>
          <w:ilvl w:val="0"/>
          <w:numId w:val="1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8"/>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9"/>
        </w:numPr>
        <w:tabs>
          <w:tab w:val="clear" w:pos="709"/>
          <w:tab w:val="left" w:pos="1245" w:leader="none"/>
        </w:tabs>
        <w:suppressAutoHyphens w:val="true"/>
        <w:spacing w:before="0" w:after="160"/>
        <w:ind w:hanging="737" w:left="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30"/>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9"/>
        </w:numPr>
        <w:suppressAutoHyphens w:val="true"/>
        <w:spacing w:before="0" w:after="160"/>
        <w:ind w:hanging="425" w:left="1134"/>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textAlignment w:val="baseline"/>
        <w:rPr>
          <w:rFonts w:eastAsia="Verdana" w:cs="Verdana"/>
          <w:lang w:val="es-BO"/>
        </w:rPr>
      </w:pPr>
      <w:r>
        <w:rPr>
          <w:rFonts w:eastAsia="Verdana" w:cs="Verdana"/>
          <w:lang w:val="es-BO"/>
        </w:rPr>
      </w:r>
    </w:p>
    <w:p>
      <w:pPr>
        <w:pStyle w:val="Normal"/>
        <w:widowControl w:val="false"/>
        <w:numPr>
          <w:ilvl w:val="0"/>
          <w:numId w:val="131"/>
        </w:numPr>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2"/>
        </w:numPr>
        <w:tabs>
          <w:tab w:val="clear" w:pos="709"/>
          <w:tab w:val="left" w:pos="1190" w:leader="none"/>
        </w:tabs>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40"/>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3"/>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4"/>
        </w:numPr>
        <w:suppressAutoHyphens w:val="true"/>
        <w:spacing w:before="0" w:after="120"/>
        <w:ind w:hanging="425" w:left="1134"/>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5"/>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6"/>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7"/>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8"/>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9"/>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40"/>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1"/>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2"/>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3"/>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4"/>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5"/>
        </w:numPr>
        <w:tabs>
          <w:tab w:val="clear" w:pos="709"/>
          <w:tab w:val="left" w:pos="156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6"/>
        </w:numPr>
        <w:tabs>
          <w:tab w:val="clear" w:pos="709"/>
          <w:tab w:val="left" w:pos="156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7"/>
        </w:numPr>
        <w:tabs>
          <w:tab w:val="clear" w:pos="709"/>
          <w:tab w:val="left" w:pos="960" w:leader="none"/>
          <w:tab w:val="left" w:pos="1133" w:leader="none"/>
        </w:tabs>
        <w:suppressAutoHyphens w:val="true"/>
        <w:ind w:hanging="313" w:left="426"/>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8"/>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9"/>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50"/>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1"/>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2"/>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3"/>
        </w:numPr>
        <w:suppressAutoHyphens w:val="true"/>
        <w:ind w:hanging="454" w:left="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4"/>
        </w:numPr>
        <w:suppressAutoHyphens w:val="true"/>
        <w:ind w:hanging="454"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4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hanging="426"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hanging="426" w:left="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hanging="426" w:left="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43"/>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43"/>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43"/>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hanging="426" w:left="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2"/>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3"/>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4"/>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5"/>
        </w:numPr>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6"/>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7"/>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8"/>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9"/>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70"/>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1"/>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2"/>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3"/>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4"/>
        </w:numPr>
        <w:suppressAutoHyphens w:val="true"/>
        <w:spacing w:before="0" w:after="120"/>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6"/>
        </w:numPr>
        <w:suppressAutoHyphens w:val="true"/>
        <w:ind w:hanging="567" w:left="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5"/>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6"/>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7"/>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78" w:left="567"/>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8"/>
        </w:numPr>
        <w:tabs>
          <w:tab w:val="clear" w:pos="709"/>
          <w:tab w:val="left" w:pos="1532" w:leader="none"/>
          <w:tab w:val="left" w:pos="1590"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9"/>
        </w:numPr>
        <w:tabs>
          <w:tab w:val="clear" w:pos="709"/>
          <w:tab w:val="left" w:pos="1532"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80"/>
        </w:numPr>
        <w:suppressAutoHyphens w:val="true"/>
        <w:ind w:hanging="737" w:left="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1"/>
        </w:numPr>
        <w:suppressAutoHyphens w:val="true"/>
        <w:ind w:hanging="850" w:left="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2"/>
        </w:numPr>
        <w:suppressAutoHyphens w:val="true"/>
        <w:spacing w:before="114" w:after="114"/>
        <w:ind w:hanging="850" w:left="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Standard"/>
        <w:rPr>
          <w:rFonts w:cs="Arial"/>
          <w:b/>
          <w:szCs w:val="18"/>
          <w:lang w:val="es-BO"/>
        </w:rPr>
      </w:pPr>
      <w:r>
        <w:rPr>
          <w:rFonts w:cs="Arial"/>
          <w:b/>
          <w:szCs w:val="18"/>
          <w:lang w:val="es-BO"/>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Times New Roman">
    <w:charset w:val="01"/>
    <w:family w:val="roman"/>
    <w:pitch w:val="default"/>
  </w:font>
  <w:font w:name="Verdana">
    <w:charset w:val="01"/>
    <w:family w:val="swiss"/>
    <w:pitch w:val="default"/>
  </w:font>
  <w:font w:name="Wingdings 3">
    <w:charset w:val="02"/>
    <w:family w:val="auto"/>
    <w:pitch w:val="default"/>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53">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9</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9</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3">
              <wp:simplePos x="0" y="0"/>
              <wp:positionH relativeFrom="margin">
                <wp:align>right</wp:align>
              </wp:positionH>
              <wp:positionV relativeFrom="paragraph">
                <wp:posOffset>635</wp:posOffset>
              </wp:positionV>
              <wp:extent cx="146050" cy="132080"/>
              <wp:effectExtent l="0" t="0" r="0" b="0"/>
              <wp:wrapSquare wrapText="bothSides"/>
              <wp:docPr id="5" name="Marco6"/>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wps:txbx>
                    <wps:bodyPr lIns="0" rIns="0" tIns="0" bIns="0" anchor="t">
                      <a:spAutoFit/>
                    </wps:bodyPr>
                  </wps:wsp>
                </a:graphicData>
              </a:graphic>
            </wp:anchor>
          </w:drawing>
        </mc:Choice>
        <mc:Fallback>
          <w:pict>
            <v:rect id="shape_0" ID="Marco6"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lowerLetter"/>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upperRoman"/>
      <w:lvlText w:val="%1."/>
      <w:lvlJc w:val="left"/>
      <w:pPr>
        <w:tabs>
          <w:tab w:val="num" w:pos="720"/>
        </w:tabs>
        <w:ind w:left="340" w:hanging="340"/>
      </w:pPr>
      <w:rPr>
        <w:i w:val="false"/>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7">
    <w:lvl w:ilvl="0">
      <w:start w:val="1"/>
      <w:numFmt w:val="lowerLetter"/>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8">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9">
    <w:lvl w:ilvl="0">
      <w:numFmt w:val="decimal"/>
      <w:lvlText w:val=""/>
      <w:lvlJc w:val="left"/>
      <w:pPr>
        <w:tabs>
          <w:tab w:val="num" w:pos="0"/>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upperLetter"/>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1">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12">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13">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4">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5">
    <w:lvl w:ilvl="0">
      <w:start w:val="10"/>
      <w:numFmt w:val="lowerLetter"/>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6">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7">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8">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9">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20">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21">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22">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3">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4">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5">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6">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7">
    <w:lvl w:ilvl="0">
      <w:start w:val="1"/>
      <w:numFmt w:val="decimal"/>
      <w:lvlText w:val="%1."/>
      <w:lvlJc w:val="left"/>
      <w:pPr>
        <w:tabs>
          <w:tab w:val="num" w:pos="0"/>
        </w:tabs>
        <w:ind w:left="720" w:hanging="360"/>
      </w:pPr>
      <w:rPr>
        <w:sz w:val="18"/>
        <w:b/>
        <w:color w:themeColor="background1"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8">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9">
    <w:lvl w:ilvl="0">
      <w:start w:val="1"/>
      <w:numFmt w:val="lowerLetter"/>
      <w:lvlText w:val="%1)"/>
      <w:lvlJc w:val="left"/>
      <w:pPr>
        <w:tabs>
          <w:tab w:val="num" w:pos="357"/>
        </w:tabs>
        <w:ind w:left="340" w:hanging="340"/>
      </w:pPr>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0">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31">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32">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33">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34">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5">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6">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9">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4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3">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2">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44"/>
    <w:lvlOverride w:ilvl="0">
      <w:startOverride w:val="1"/>
    </w:lvlOverride>
  </w:num>
  <w:num w:numId="115">
    <w:abstractNumId w:val="44"/>
  </w:num>
  <w:num w:numId="116">
    <w:abstractNumId w:val="44"/>
  </w:num>
  <w:num w:numId="117">
    <w:abstractNumId w:val="44"/>
  </w:num>
  <w:num w:numId="118">
    <w:abstractNumId w:val="44"/>
  </w:num>
  <w:num w:numId="119">
    <w:abstractNumId w:val="44"/>
  </w:num>
  <w:num w:numId="120">
    <w:abstractNumId w:val="44"/>
  </w:num>
  <w:num w:numId="121">
    <w:abstractNumId w:val="44"/>
  </w:num>
  <w:num w:numId="122">
    <w:abstractNumId w:val="44"/>
  </w:num>
  <w:num w:numId="123">
    <w:abstractNumId w:val="44"/>
  </w:num>
  <w:num w:numId="124">
    <w:abstractNumId w:val="44"/>
  </w:num>
  <w:num w:numId="125">
    <w:abstractNumId w:val="38"/>
  </w:num>
  <w:num w:numId="126">
    <w:abstractNumId w:val="38"/>
  </w:num>
  <w:num w:numId="127">
    <w:abstractNumId w:val="38"/>
  </w:num>
  <w:num w:numId="128">
    <w:abstractNumId w:val="38"/>
  </w:num>
  <w:num w:numId="129">
    <w:abstractNumId w:val="37"/>
  </w:num>
  <w:num w:numId="130">
    <w:abstractNumId w:val="38"/>
  </w:num>
  <w:num w:numId="131">
    <w:abstractNumId w:val="37"/>
  </w:num>
  <w:num w:numId="132">
    <w:abstractNumId w:val="37"/>
  </w:num>
  <w:num w:numId="133">
    <w:abstractNumId w:val="40"/>
  </w:num>
  <w:num w:numId="134">
    <w:abstractNumId w:val="40"/>
  </w:num>
  <w:num w:numId="135">
    <w:abstractNumId w:val="40"/>
  </w:num>
  <w:num w:numId="136">
    <w:abstractNumId w:val="40"/>
  </w:num>
  <w:num w:numId="137">
    <w:abstractNumId w:val="40"/>
  </w:num>
  <w:num w:numId="138">
    <w:abstractNumId w:val="40"/>
  </w:num>
  <w:num w:numId="139">
    <w:abstractNumId w:val="40"/>
  </w:num>
  <w:num w:numId="140">
    <w:abstractNumId w:val="40"/>
  </w:num>
  <w:num w:numId="141">
    <w:abstractNumId w:val="37"/>
  </w:num>
  <w:num w:numId="142">
    <w:abstractNumId w:val="37"/>
  </w:num>
  <w:num w:numId="143">
    <w:abstractNumId w:val="37"/>
  </w:num>
  <w:num w:numId="144">
    <w:abstractNumId w:val="74"/>
    <w:lvlOverride w:ilvl="0">
      <w:startOverride w:val="1"/>
    </w:lvlOverride>
  </w:num>
  <w:num w:numId="145">
    <w:abstractNumId w:val="74"/>
  </w:num>
  <w:num w:numId="146">
    <w:abstractNumId w:val="74"/>
  </w:num>
  <w:num w:numId="147">
    <w:abstractNumId w:val="74"/>
  </w:num>
  <w:num w:numId="148">
    <w:abstractNumId w:val="74"/>
  </w:num>
  <w:num w:numId="149">
    <w:abstractNumId w:val="74"/>
  </w:num>
  <w:num w:numId="150">
    <w:abstractNumId w:val="74"/>
  </w:num>
  <w:num w:numId="151">
    <w:abstractNumId w:val="74"/>
  </w:num>
  <w:num w:numId="152">
    <w:abstractNumId w:val="74"/>
  </w:num>
  <w:num w:numId="153">
    <w:abstractNumId w:val="83"/>
    <w:lvlOverride w:ilvl="0">
      <w:startOverride w:val="1"/>
    </w:lvlOverride>
  </w:num>
  <w:num w:numId="154">
    <w:abstractNumId w:val="83"/>
  </w:num>
  <w:num w:numId="155">
    <w:abstractNumId w:val="41"/>
  </w:num>
  <w:num w:numId="156">
    <w:abstractNumId w:val="41"/>
  </w:num>
  <w:num w:numId="157">
    <w:abstractNumId w:val="41"/>
  </w:num>
  <w:num w:numId="158">
    <w:abstractNumId w:val="41"/>
  </w:num>
  <w:num w:numId="159">
    <w:abstractNumId w:val="41"/>
  </w:num>
  <w:num w:numId="160">
    <w:abstractNumId w:val="41"/>
  </w:num>
  <w:num w:numId="161">
    <w:abstractNumId w:val="41"/>
  </w:num>
  <w:num w:numId="162">
    <w:abstractNumId w:val="92"/>
    <w:lvlOverride w:ilvl="0">
      <w:startOverride w:val="1"/>
    </w:lvlOverride>
  </w:num>
  <w:num w:numId="163">
    <w:abstractNumId w:val="92"/>
  </w:num>
  <w:num w:numId="164">
    <w:abstractNumId w:val="94"/>
    <w:lvlOverride w:ilvl="0">
      <w:startOverride w:val="1"/>
    </w:lvlOverride>
  </w:num>
  <w:num w:numId="165">
    <w:abstractNumId w:val="94"/>
  </w:num>
  <w:num w:numId="166">
    <w:abstractNumId w:val="94"/>
  </w:num>
  <w:num w:numId="167">
    <w:abstractNumId w:val="94"/>
  </w:num>
  <w:num w:numId="168">
    <w:abstractNumId w:val="94"/>
  </w:num>
  <w:num w:numId="169">
    <w:abstractNumId w:val="94"/>
  </w:num>
  <w:num w:numId="170">
    <w:abstractNumId w:val="94"/>
  </w:num>
  <w:num w:numId="171">
    <w:abstractNumId w:val="94"/>
  </w:num>
  <w:num w:numId="172">
    <w:abstractNumId w:val="94"/>
  </w:num>
  <w:num w:numId="173">
    <w:abstractNumId w:val="94"/>
  </w:num>
  <w:num w:numId="174">
    <w:abstractNumId w:val="94"/>
  </w:num>
  <w:num w:numId="175">
    <w:abstractNumId w:val="105"/>
    <w:lvlOverride w:ilvl="0">
      <w:startOverride w:val="1"/>
    </w:lvlOverride>
  </w:num>
  <w:num w:numId="176">
    <w:abstractNumId w:val="105"/>
  </w:num>
  <w:num w:numId="177">
    <w:abstractNumId w:val="105"/>
  </w:num>
  <w:num w:numId="178">
    <w:abstractNumId w:val="108"/>
    <w:lvlOverride w:ilvl="0">
      <w:startOverride w:val="1"/>
    </w:lvlOverride>
  </w:num>
  <w:num w:numId="179">
    <w:abstractNumId w:val="108"/>
  </w:num>
  <w:num w:numId="180">
    <w:abstractNumId w:val="108"/>
  </w:num>
  <w:num w:numId="181">
    <w:abstractNumId w:val="111"/>
    <w:lvlOverride w:ilvl="0">
      <w:startOverride w:val="1"/>
    </w:lvlOverride>
  </w:num>
  <w:num w:numId="182">
    <w:abstractNumId w:val="111"/>
  </w:num>
</w:numbering>
</file>

<file path=word/settings.xml><?xml version="1.0" encoding="utf-8"?>
<w:settings xmlns:w="http://schemas.openxmlformats.org/wordprocessingml/2006/main">
  <w:zoom w:percent="22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8"/>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8"/>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8"/>
      </w:numPr>
      <w:outlineLvl w:val="2"/>
    </w:pPr>
    <w:rPr>
      <w:szCs w:val="20"/>
      <w:lang w:val="es-MX"/>
    </w:rPr>
  </w:style>
  <w:style w:type="paragraph" w:styleId="Heading4">
    <w:name w:val="Heading 4"/>
    <w:basedOn w:val="Normal"/>
    <w:next w:val="Normal"/>
    <w:link w:val="Ttulo4Car"/>
    <w:qFormat/>
    <w:rsid w:val="00a72fb0"/>
    <w:pPr>
      <w:keepNext w:val="true"/>
      <w:numPr>
        <w:ilvl w:val="0"/>
        <w:numId w:val="6"/>
      </w:numPr>
      <w:outlineLvl w:val="3"/>
    </w:pPr>
    <w:rPr>
      <w:bCs/>
      <w:iCs/>
      <w:szCs w:val="22"/>
      <w:lang w:eastAsia="en-US"/>
    </w:rPr>
  </w:style>
  <w:style w:type="paragraph" w:styleId="Heading5">
    <w:name w:val="Heading 5"/>
    <w:basedOn w:val="Normal"/>
    <w:next w:val="Normal"/>
    <w:link w:val="Ttulo5Car"/>
    <w:qFormat/>
    <w:rsid w:val="00a72fb0"/>
    <w:pPr>
      <w:numPr>
        <w:ilvl w:val="0"/>
        <w:numId w:val="7"/>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10"/>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9"/>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FontStyle23">
    <w:name w:val="Font Style23"/>
    <w:qFormat/>
    <w:rPr>
      <w:rFonts w:ascii="Verdana" w:hAnsi="Verdana" w:cs="Verdana"/>
      <w:sz w:val="18"/>
      <w:szCs w:val="18"/>
    </w:rPr>
  </w:style>
  <w:style w:type="character" w:styleId="Strong">
    <w:name w:val="Strong"/>
    <w:basedOn w:val="DefaultParagraphFont"/>
    <w:qFormat/>
    <w:rPr>
      <w:b/>
      <w:bCs/>
    </w:rPr>
  </w:style>
  <w:style w:type="character" w:styleId="Bolos">
    <w:name w:val="Bolos"/>
    <w:qFormat/>
    <w:rPr>
      <w:rFonts w:ascii="OpenSymbol" w:hAnsi="OpenSymbol" w:eastAsia="OpenSymbol" w:cs="OpenSymbol"/>
    </w:rPr>
  </w:style>
  <w:style w:type="character" w:styleId="Smbolosdenumeracin">
    <w:name w:val="Símbolos de numeración"/>
    <w:qFormat/>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jc w:val="center"/>
    </w:pPr>
    <w:rPr>
      <w:rFonts w:ascii="Times New Roman" w:hAnsi="Times New Roman"/>
      <w:sz w:val="22"/>
      <w:szCs w:val="20"/>
      <w:lang w:eastAsia="en-US"/>
    </w:rPr>
  </w:style>
  <w:style w:type="paragraph" w:styleId="Cabeceraypie">
    <w:name w:val="Cabecera y pie"/>
    <w:basedOn w:val="Normal"/>
    <w:qFormat/>
    <w:pPr/>
    <w:rPr/>
  </w:style>
  <w:style w:type="paragraph" w:styleId="Header">
    <w:name w:val="Header"/>
    <w:basedOn w:val="Normal"/>
    <w:link w:val="EncabezadoCar"/>
    <w:uiPriority w:val="99"/>
    <w:rsid w:val="00c41605"/>
    <w:pPr>
      <w:tabs>
        <w:tab w:val="clear" w:pos="709"/>
        <w:tab w:val="center" w:pos="4419" w:leader="none"/>
        <w:tab w:val="right" w:pos="8838" w:leader="none"/>
      </w:tabs>
    </w:pPr>
    <w:rPr/>
  </w:style>
  <w:style w:type="paragraph" w:styleId="Footer">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overflowPunct w:val="true"/>
      <w:spacing w:before="0" w:after="120"/>
      <w:ind w:hanging="288" w:lef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hanging="720" w:lef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hanging="432" w:lef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left="283"/>
    </w:pPr>
    <w:rPr>
      <w:rFonts w:ascii="Times New Roman" w:hAnsi="Times New Roman"/>
      <w:sz w:val="20"/>
      <w:szCs w:val="20"/>
      <w:lang w:eastAsia="en-US"/>
    </w:rPr>
  </w:style>
  <w:style w:type="paragraph" w:styleId="Title">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autoRedefine/>
    <w:rsid w:val="00b847f4"/>
    <w:pPr>
      <w:tabs>
        <w:tab w:val="clear" w:pos="709"/>
        <w:tab w:val="left" w:pos="1209" w:leader="none"/>
      </w:tabs>
      <w:ind w:hanging="360" w:left="1209"/>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
    <w:name w:val="caption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lef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left="440"/>
    </w:pPr>
    <w:rPr>
      <w:rFonts w:ascii="Calibri" w:hAnsi="Calibri"/>
      <w:sz w:val="22"/>
      <w:szCs w:val="22"/>
      <w:lang w:eastAsia="en-US"/>
    </w:rPr>
  </w:style>
  <w:style w:type="paragraph" w:styleId="SAUL" w:customStyle="1">
    <w:name w:val="SAUL"/>
    <w:basedOn w:val="Normal"/>
    <w:qFormat/>
    <w:rsid w:val="006c70e4"/>
    <w:pPr>
      <w:numPr>
        <w:ilvl w:val="0"/>
        <w:numId w:val="26"/>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Ttulodelatabla">
    <w:name w:val="Título de la tabla"/>
    <w:basedOn w:val="Contenidodelatabla"/>
    <w:qFormat/>
    <w:pPr>
      <w:suppressLineNumbers/>
      <w:jc w:val="center"/>
    </w:pPr>
    <w:rPr>
      <w:b/>
      <w:bCs/>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Standard1">
    <w:name w:val="Standard1"/>
    <w:qFormat/>
    <w:pPr>
      <w:widowControl/>
      <w:suppressAutoHyphens w:val="true"/>
      <w:bidi w:val="0"/>
      <w:spacing w:before="0" w:after="0"/>
      <w:jc w:val="left"/>
      <w:textAlignment w:val="baseline"/>
    </w:pPr>
    <w:rPr>
      <w:rFonts w:ascii="Verdana" w:hAnsi="Verdana" w:eastAsia="Times New Roman" w:cs="Times New Roman"/>
      <w:color w:val="auto"/>
      <w:kern w:val="0"/>
      <w:sz w:val="16"/>
      <w:szCs w:val="16"/>
      <w:lang w:val="es-ES" w:eastAsia="es-BO" w:bidi="ar-SA"/>
    </w:rPr>
  </w:style>
  <w:style w:type="paragraph" w:styleId="Sinespaciado">
    <w:name w:val="Sin espaciado"/>
    <w:qFormat/>
    <w:pPr>
      <w:widowControl/>
      <w:suppressAutoHyphens w:val="true"/>
      <w:bidi w:val="0"/>
      <w:spacing w:before="0" w:after="0"/>
      <w:jc w:val="left"/>
    </w:pPr>
    <w:rPr>
      <w:rFonts w:ascii="Calibri" w:hAnsi="Calibri" w:eastAsia="Times New Roman" w:cs="Calibri"/>
      <w:color w:val="000000"/>
      <w:kern w:val="0"/>
      <w:sz w:val="22"/>
      <w:szCs w:val="22"/>
      <w:lang w:val="es-ES" w:eastAsia="zh-CN"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28929-0339-4829-BB71-0C61DA761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Application>LibreOffice/7.6.6.3$Linux_X86_64 LibreOffice_project/60$Build-3</Application>
  <AppVersion>15.0000</AppVersion>
  <Pages>48</Pages>
  <Words>17595</Words>
  <Characters>98471</Characters>
  <CharactersWithSpaces>114897</CharactersWithSpaces>
  <Paragraphs>1068</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2026-02-23T16:06:26Z</cp:lastPrinted>
  <dcterms:modified xsi:type="dcterms:W3CDTF">2026-02-23T15:57:36Z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