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media/image1.png" ContentType="image/png"/>
  <Override PartName="/word/media/image2.png" ContentType="image/png"/>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9"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jc w:val="center"/>
                              <w:rPr>
                                <w:b/>
                                <w:lang w:val="es-BO"/>
                              </w:rPr>
                            </w:pPr>
                            <w:r>
                              <w:rPr>
                                <w:b/>
                                <w:color w:val="000000"/>
                                <w:lang w:val="es-BO"/>
                              </w:rPr>
                            </w:r>
                          </w:p>
                          <w:p>
                            <w:pPr>
                              <w:pStyle w:val="Contenidodelmarco"/>
                              <w:ind w:lef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jc w:val="center"/>
                              <w:rPr>
                                <w:b/>
                              </w:rPr>
                            </w:pPr>
                            <w:r>
                              <w:rPr>
                                <w:b/>
                                <w:color w:val="000000"/>
                              </w:rPr>
                            </w:r>
                          </w:p>
                          <w:p>
                            <w:pPr>
                              <w:pStyle w:val="Contenidodelmarco"/>
                              <w:ind w:left="-142"/>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ANPE GDMTR N° 9/2026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highlight w:val="none"/>
                                <w:shd w:fill="auto" w:val="clear"/>
                              </w:rPr>
                            </w:pPr>
                            <w:r>
                              <w:rPr>
                                <w:rFonts w:cs="Tahoma" w:ascii="Tahoma" w:hAnsi="Tahoma"/>
                                <w:b/>
                                <w:color w:val="000000"/>
                                <w:sz w:val="36"/>
                                <w:szCs w:val="36"/>
                                <w:shd w:fill="auto" w:val="clear"/>
                              </w:rPr>
                              <w:t xml:space="preserve">  </w:t>
                            </w:r>
                            <w:r>
                              <w:rPr>
                                <w:rFonts w:cs="Tahoma" w:ascii="Tahoma" w:hAnsi="Tahoma"/>
                                <w:b/>
                                <w:color w:val="000000"/>
                                <w:sz w:val="32"/>
                                <w:szCs w:val="32"/>
                                <w:shd w:fill="auto" w:val="clear"/>
                              </w:rPr>
                              <w:t>“</w:t>
                            </w:r>
                            <w:r>
                              <w:rPr>
                                <w:rFonts w:cs="Tahoma" w:ascii="Tahoma" w:hAnsi="Tahoma"/>
                                <w:b/>
                                <w:color w:val="000000"/>
                                <w:sz w:val="32"/>
                                <w:szCs w:val="32"/>
                                <w:shd w:fill="auto" w:val="clear"/>
                              </w:rPr>
                              <w:t>CONTRATACIÓN DE (1) CONSULTOR INDIVIDUAL DE LINEA – TÉCNICO I PARA EL PROYECTO “CONCLUSIÓN DE PROCESOS DE COBRO Y SU REGISTRO EN EL SISTEMA DE COBRANZA COACTIVA” GERENCIA DISTRITAL MONTERO – GESTIÓN 2026.</w:t>
                            </w:r>
                          </w:p>
                          <w:p>
                            <w:pPr>
                              <w:pStyle w:val="Contenidodelmarco"/>
                              <w:jc w:val="center"/>
                              <w:rPr>
                                <w:rFonts w:ascii="Tahoma" w:hAnsi="Tahoma" w:cs="Tahoma"/>
                                <w:b/>
                                <w:color w:val="000000"/>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885950" cy="169989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885950" cy="1699895"/>
                                          </a:xfrm>
                                          <a:prstGeom prst="rect">
                                            <a:avLst/>
                                          </a:prstGeom>
                                        </pic:spPr>
                                      </pic:pic>
                                    </a:graphicData>
                                  </a:graphic>
                                </wp:inline>
                              </w:drawing>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7"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Pr>
          <w:rFonts w:cs="Tahoma"/>
          <w:szCs w:val="18"/>
          <w:lang w:val="es-BO"/>
        </w:rPr>
      </w:pPr>
      <w:r>
        <w:rPr>
          <w:rFonts w:cs="Tahoma"/>
          <w:szCs w:val="18"/>
          <w:lang w:val="es-BO"/>
        </w:rPr>
      </w:r>
    </w:p>
    <w:p>
      <w:pPr>
        <w:pStyle w:val="Title"/>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itle"/>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hanging="708" w:left="1134"/>
        <w:rPr>
          <w:b/>
          <w:lang w:val="es-BO"/>
        </w:rPr>
      </w:pPr>
      <w:bookmarkStart w:id="5" w:name="_Toc355779855"/>
      <w:r>
        <w:rPr>
          <w:b/>
          <w:lang w:val="es-BO"/>
        </w:rPr>
        <w:t>Consultas escritas sobre el DBC</w:t>
      </w:r>
      <w:bookmarkEnd w:id="5"/>
    </w:p>
    <w:p>
      <w:pPr>
        <w:pStyle w:val="Normal"/>
        <w:ind w:left="709"/>
        <w:rPr>
          <w:rFonts w:cs="Tahoma"/>
          <w:szCs w:val="18"/>
          <w:lang w:val="es-BO"/>
        </w:rPr>
      </w:pPr>
      <w:r>
        <w:rPr>
          <w:rFonts w:cs="Tahoma"/>
          <w:szCs w:val="18"/>
          <w:lang w:val="es-BO"/>
        </w:rPr>
      </w:r>
    </w:p>
    <w:p>
      <w:pPr>
        <w:pStyle w:val="Normal"/>
        <w:tabs>
          <w:tab w:val="clear" w:pos="709"/>
          <w:tab w:val="left" w:pos="1134" w:leader="none"/>
        </w:tabs>
        <w:ind w:hanging="567" w:left="1134"/>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hanging="567" w:left="1134"/>
        <w:rPr>
          <w:rFonts w:cs="Tahoma"/>
          <w:szCs w:val="18"/>
          <w:lang w:val="es-BO"/>
        </w:rPr>
      </w:pPr>
      <w:r>
        <w:rPr>
          <w:rFonts w:cs="Tahoma"/>
          <w:szCs w:val="18"/>
          <w:lang w:val="es-BO"/>
        </w:rPr>
      </w:r>
    </w:p>
    <w:p>
      <w:pPr>
        <w:pStyle w:val="SAUL"/>
        <w:numPr>
          <w:ilvl w:val="0"/>
          <w:numId w:val="21"/>
        </w:numPr>
        <w:ind w:hanging="708" w:left="1134"/>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rPr>
          <w:rFonts w:cs="Tahoma"/>
          <w:szCs w:val="18"/>
          <w:lang w:val="es-BO"/>
        </w:rPr>
      </w:pPr>
      <w:r>
        <w:rPr>
          <w:rFonts w:cs="Tahoma"/>
          <w:szCs w:val="18"/>
          <w:lang w:val="es-BO"/>
        </w:rPr>
      </w:r>
    </w:p>
    <w:p>
      <w:pPr>
        <w:pStyle w:val="Normal"/>
        <w:ind w:lef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rPr>
          <w:rFonts w:cs="Tahoma"/>
          <w:szCs w:val="18"/>
          <w:lang w:val="es-BO"/>
        </w:rPr>
      </w:pPr>
      <w:r>
        <w:rPr>
          <w:rFonts w:cs="Tahoma"/>
          <w:szCs w:val="18"/>
          <w:lang w:val="es-BO"/>
        </w:rPr>
      </w:r>
    </w:p>
    <w:p>
      <w:pPr>
        <w:pStyle w:val="Title"/>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r>
    </w:p>
    <w:p>
      <w:pPr>
        <w:pStyle w:val="Normal"/>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hanging="0" w:left="426"/>
        <w:rPr>
          <w:lang w:val="es-BO"/>
        </w:rPr>
      </w:pPr>
      <w:r>
        <w:rPr>
          <w:lang w:val="es-BO"/>
        </w:rPr>
      </w:r>
    </w:p>
    <w:p>
      <w:pPr>
        <w:pStyle w:val="SAUL"/>
        <w:numPr>
          <w:ilvl w:val="1"/>
          <w:numId w:val="11"/>
        </w:numPr>
        <w:tabs>
          <w:tab w:val="clear" w:pos="709"/>
        </w:tabs>
        <w:ind w:hanging="708" w:left="1134"/>
        <w:rPr>
          <w:b/>
          <w:bCs/>
          <w:szCs w:val="18"/>
          <w:lang w:val="es-BO"/>
        </w:rPr>
      </w:pPr>
      <w:r>
        <w:rPr>
          <w:b/>
          <w:bCs/>
          <w:szCs w:val="18"/>
          <w:lang w:val="es-BO"/>
        </w:rPr>
        <w:t>Las garantías requeridas, de acuerdo con el objeto, son:</w:t>
      </w:r>
    </w:p>
    <w:p>
      <w:pPr>
        <w:pStyle w:val="SAUL"/>
        <w:numPr>
          <w:ilvl w:val="0"/>
          <w:numId w:val="0"/>
        </w:numPr>
        <w:ind w:hanging="0" w:left="1134"/>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hanging="425" w:lef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left="1134"/>
        <w:rPr>
          <w:szCs w:val="18"/>
          <w:lang w:val="es-BO"/>
        </w:rPr>
      </w:pPr>
      <w:r>
        <w:rPr>
          <w:szCs w:val="18"/>
          <w:lang w:val="es-BO"/>
        </w:rPr>
      </w:r>
    </w:p>
    <w:p>
      <w:pPr>
        <w:pStyle w:val="Normal"/>
        <w:numPr>
          <w:ilvl w:val="0"/>
          <w:numId w:val="7"/>
        </w:numPr>
        <w:tabs>
          <w:tab w:val="clear" w:pos="709"/>
          <w:tab w:val="left" w:pos="45" w:leader="none"/>
          <w:tab w:val="left" w:pos="2160" w:leader="none"/>
        </w:tabs>
        <w:ind w:hanging="425" w:lef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Normal"/>
        <w:tabs>
          <w:tab w:val="clear" w:pos="709"/>
          <w:tab w:val="left" w:pos="2160" w:leader="none"/>
        </w:tabs>
        <w:ind w:hanging="425" w:lef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hanging="425" w:left="1701"/>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hanging="425" w:lef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SAUL"/>
        <w:numPr>
          <w:ilvl w:val="1"/>
          <w:numId w:val="11"/>
        </w:numPr>
        <w:tabs>
          <w:tab w:val="clear" w:pos="709"/>
        </w:tabs>
        <w:ind w:hanging="708" w:left="1134"/>
        <w:rPr>
          <w:rFonts w:cs="Arial"/>
          <w:b/>
          <w:szCs w:val="18"/>
          <w:lang w:val="es-BO"/>
        </w:rPr>
      </w:pPr>
      <w:r>
        <w:rPr>
          <w:rFonts w:cs="Arial"/>
          <w:b/>
          <w:szCs w:val="18"/>
          <w:lang w:val="es-BO"/>
        </w:rPr>
        <w:t>Ejecución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1"/>
          <w:numId w:val="11"/>
        </w:numPr>
        <w:tabs>
          <w:tab w:val="clear" w:pos="709"/>
        </w:tabs>
        <w:ind w:hanging="708" w:left="1134"/>
        <w:rPr>
          <w:rFonts w:cs="Arial"/>
          <w:b/>
          <w:szCs w:val="18"/>
          <w:lang w:val="es-BO"/>
        </w:rPr>
      </w:pPr>
      <w:r>
        <w:rPr>
          <w:rFonts w:cs="Arial"/>
          <w:b/>
          <w:szCs w:val="18"/>
          <w:lang w:val="es-BO"/>
        </w:rPr>
        <w:t>Devolución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left="1134"/>
        <w:rPr>
          <w:rFonts w:cs="Arial"/>
          <w:szCs w:val="18"/>
          <w:lang w:val="es-BO"/>
        </w:rPr>
      </w:pPr>
      <w:r>
        <w:rPr>
          <w:rFonts w:cs="Arial"/>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left="1134"/>
        <w:rPr>
          <w:rFonts w:cs="Arial"/>
          <w:szCs w:val="18"/>
          <w:lang w:val="es-BO"/>
        </w:rPr>
      </w:pPr>
      <w:r>
        <w:rPr>
          <w:rFonts w:cs="Arial"/>
          <w:szCs w:val="18"/>
          <w:lang w:val="es-BO"/>
        </w:rPr>
      </w:r>
    </w:p>
    <w:p>
      <w:pPr>
        <w:pStyle w:val="SAUL"/>
        <w:numPr>
          <w:ilvl w:val="1"/>
          <w:numId w:val="11"/>
        </w:numPr>
        <w:tabs>
          <w:tab w:val="clear" w:pos="709"/>
        </w:tabs>
        <w:ind w:hanging="708" w:lef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1"/>
        </w:numPr>
        <w:tabs>
          <w:tab w:val="clear" w:pos="709"/>
        </w:tabs>
        <w:ind w:hanging="708" w:lef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itle"/>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hanging="0"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hanging="0" w:left="1134"/>
        <w:rPr>
          <w:b/>
          <w:szCs w:val="18"/>
          <w:lang w:val="es-BO"/>
        </w:rPr>
      </w:pPr>
      <w:r>
        <w:rPr>
          <w:b/>
          <w:szCs w:val="18"/>
          <w:lang w:val="es-BO"/>
        </w:rPr>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hanging="426" w:lef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1"/>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pPr>
        <w:pStyle w:val="Normal"/>
        <w:ind w:left="3036"/>
        <w:rPr>
          <w:rFonts w:cs="Tahoma"/>
          <w:b/>
          <w:szCs w:val="18"/>
          <w:lang w:val="es-BO"/>
        </w:rPr>
      </w:pPr>
      <w:r>
        <w:rPr>
          <w:rFonts w:cs="Tahoma"/>
          <w:b/>
          <w:szCs w:val="18"/>
          <w:lang w:val="es-BO"/>
        </w:rPr>
      </w:r>
    </w:p>
    <w:p>
      <w:pPr>
        <w:pStyle w:val="SAUL"/>
        <w:numPr>
          <w:ilvl w:val="1"/>
          <w:numId w:val="11"/>
        </w:numPr>
        <w:tabs>
          <w:tab w:val="clear" w:pos="709"/>
        </w:tabs>
        <w:ind w:hanging="708" w:left="1134"/>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Pr>
          <w:rFonts w:cs="Arial"/>
          <w:szCs w:val="18"/>
          <w:lang w:val="es-BO"/>
        </w:rPr>
      </w:pPr>
      <w:r>
        <w:rPr>
          <w:rFonts w:cs="Arial"/>
          <w:szCs w:val="18"/>
          <w:lang w:val="es-BO"/>
        </w:rPr>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hanging="425" w:lef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left="1134"/>
        <w:rPr>
          <w:rFonts w:cs="Arial"/>
          <w:szCs w:val="18"/>
          <w:lang w:val="es-BO"/>
        </w:rPr>
      </w:pPr>
      <w:r>
        <w:rPr>
          <w:rFonts w:cs="Arial"/>
          <w:szCs w:val="18"/>
          <w:lang w:val="es-BO"/>
        </w:rPr>
      </w:r>
    </w:p>
    <w:p>
      <w:pPr>
        <w:pStyle w:val="SAUL"/>
        <w:numPr>
          <w:ilvl w:val="1"/>
          <w:numId w:val="11"/>
        </w:numPr>
        <w:tabs>
          <w:tab w:val="clear" w:pos="709"/>
        </w:tabs>
        <w:ind w:hanging="708" w:left="1134"/>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itle"/>
        <w:spacing w:before="0" w:after="0"/>
        <w:ind w:left="426"/>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hanging="284" w:left="1560"/>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hanging="284" w:left="1560"/>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hanging="284" w:left="1560"/>
        <w:rPr>
          <w:rFonts w:cs="Arial"/>
          <w:szCs w:val="18"/>
          <w:lang w:val="es-BO"/>
        </w:rPr>
      </w:pPr>
      <w:r>
        <w:rPr>
          <w:rFonts w:cs="Arial"/>
          <w:szCs w:val="18"/>
          <w:lang w:val="es-BO"/>
        </w:rPr>
        <w:t>Falta de la propuesta técnica o parte de ella;</w:t>
      </w:r>
    </w:p>
    <w:p>
      <w:pPr>
        <w:pStyle w:val="Normal"/>
        <w:numPr>
          <w:ilvl w:val="1"/>
          <w:numId w:val="14"/>
        </w:numPr>
        <w:ind w:hanging="284" w:left="1560"/>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hanging="284" w:left="1560"/>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hanging="284" w:left="1560"/>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hanging="284" w:left="1560"/>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hanging="284" w:left="1560"/>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hanging="284" w:lef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Pr>
          <w:rFonts w:cs="Arial"/>
          <w:szCs w:val="18"/>
          <w:lang w:val="es-BO"/>
        </w:rPr>
      </w:pPr>
      <w:r>
        <w:rPr>
          <w:rFonts w:cs="Arial"/>
          <w:szCs w:val="18"/>
          <w:lang w:val="es-BO"/>
        </w:rPr>
      </w:r>
    </w:p>
    <w:p>
      <w:pPr>
        <w:pStyle w:val="Title"/>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left="720"/>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left="360"/>
        <w:rPr>
          <w:rFonts w:cs="Tahoma"/>
          <w:szCs w:val="18"/>
          <w:lang w:val="es-BO"/>
        </w:rPr>
      </w:pPr>
      <w:r>
        <w:rPr>
          <w:rFonts w:cs="Tahoma"/>
          <w:szCs w:val="18"/>
          <w:lang w:val="es-BO"/>
        </w:rPr>
      </w:r>
    </w:p>
    <w:p>
      <w:pPr>
        <w:pStyle w:val="Title"/>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Pr>
          <w:rFonts w:cs="Tahoma"/>
          <w:szCs w:val="18"/>
          <w:lang w:val="es-BO"/>
        </w:rPr>
      </w:pPr>
      <w:r>
        <w:rPr>
          <w:rFonts w:cs="Tahoma"/>
          <w:szCs w:val="18"/>
          <w:lang w:val="es-BO"/>
        </w:rPr>
      </w:r>
    </w:p>
    <w:p>
      <w:pPr>
        <w:pStyle w:val="Normal"/>
        <w:ind w:left="426"/>
        <w:jc w:val="center"/>
        <w:rPr>
          <w:rFonts w:cs="Tahoma"/>
          <w:b/>
          <w:bCs/>
          <w:szCs w:val="18"/>
          <w:lang w:val="es-BO"/>
        </w:rPr>
      </w:pPr>
      <w:r>
        <w:rPr>
          <w:rFonts w:cs="Tahoma"/>
          <w:b/>
          <w:bCs/>
          <w:szCs w:val="18"/>
          <w:lang w:val="es-BO"/>
        </w:rPr>
        <w:t>SECCIÓN II</w:t>
      </w:r>
    </w:p>
    <w:p>
      <w:pPr>
        <w:pStyle w:val="Normal"/>
        <w:ind w:left="426"/>
        <w:jc w:val="center"/>
        <w:rPr>
          <w:rFonts w:cs="Tahoma"/>
          <w:b/>
          <w:bCs/>
          <w:szCs w:val="18"/>
          <w:lang w:val="es-BO"/>
        </w:rPr>
      </w:pPr>
      <w:r>
        <w:rPr>
          <w:rFonts w:cs="Tahoma"/>
          <w:b/>
          <w:bCs/>
          <w:szCs w:val="18"/>
          <w:lang w:val="es-BO"/>
        </w:rPr>
        <w:t>PREPARACIÓN DE LAS PROPUESTAS</w:t>
      </w:r>
    </w:p>
    <w:p>
      <w:pPr>
        <w:pStyle w:val="Normal"/>
        <w:ind w:left="426"/>
        <w:rPr>
          <w:rFonts w:cs="Tahoma"/>
          <w:szCs w:val="18"/>
          <w:lang w:val="es-BO"/>
        </w:rPr>
      </w:pPr>
      <w:r>
        <w:rPr>
          <w:rFonts w:cs="Tahoma"/>
          <w:szCs w:val="18"/>
          <w:lang w:val="es-BO"/>
        </w:rPr>
      </w:r>
    </w:p>
    <w:p>
      <w:pPr>
        <w:pStyle w:val="Title"/>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Pr>
          <w:rFonts w:cs="Tahoma"/>
          <w:b/>
          <w:szCs w:val="18"/>
          <w:lang w:val="es-BO" w:eastAsia="en-US"/>
        </w:rPr>
      </w:pPr>
      <w:r>
        <w:rPr>
          <w:rFonts w:cs="Tahoma"/>
          <w:b/>
          <w:szCs w:val="18"/>
          <w:lang w:val="es-BO" w:eastAsia="en-US"/>
        </w:rPr>
      </w:r>
    </w:p>
    <w:p>
      <w:pPr>
        <w:pStyle w:val="Normal"/>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Pr>
          <w:rFonts w:cs="Tahoma"/>
          <w:bCs/>
          <w:szCs w:val="18"/>
          <w:lang w:val="es-BO" w:eastAsia="en-US"/>
        </w:rPr>
      </w:pPr>
      <w:r>
        <w:rPr>
          <w:rFonts w:cs="Tahoma"/>
          <w:bCs/>
          <w:szCs w:val="18"/>
          <w:lang w:val="es-BO" w:eastAsia="en-US"/>
        </w:rPr>
      </w:r>
    </w:p>
    <w:p>
      <w:pPr>
        <w:pStyle w:val="SAUL"/>
        <w:numPr>
          <w:ilvl w:val="1"/>
          <w:numId w:val="11"/>
        </w:numPr>
        <w:tabs>
          <w:tab w:val="clear" w:pos="709"/>
        </w:tabs>
        <w:ind w:hanging="708" w:left="1134"/>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itle"/>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hanging="425" w:lef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hanging="425" w:left="1701"/>
        <w:rPr>
          <w:rFonts w:cs="Arial"/>
          <w:szCs w:val="18"/>
          <w:lang w:val="es-BO"/>
        </w:rPr>
      </w:pPr>
      <w:r>
        <w:rPr>
          <w:rFonts w:cs="Arial"/>
          <w:szCs w:val="18"/>
          <w:lang w:val="es-BO"/>
        </w:rPr>
        <w:t xml:space="preserve">Formulario de Identificación del Proponente (Formulario A-2); </w:t>
      </w:r>
    </w:p>
    <w:p>
      <w:pPr>
        <w:pStyle w:val="Normal"/>
        <w:numPr>
          <w:ilvl w:val="0"/>
          <w:numId w:val="15"/>
        </w:numPr>
        <w:ind w:hanging="425" w:lef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hanging="425" w:lef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hanging="425" w:left="1701"/>
        <w:rPr>
          <w:rFonts w:cs="Arial"/>
          <w:szCs w:val="18"/>
          <w:lang w:val="es-BO"/>
        </w:rPr>
      </w:pPr>
      <w:r>
        <w:rPr>
          <w:rFonts w:cs="Arial"/>
          <w:szCs w:val="18"/>
          <w:lang w:val="es-BO"/>
        </w:rPr>
        <w:t>Formulario de Condiciones Adicionales (Formulario C-2);</w:t>
      </w:r>
    </w:p>
    <w:p>
      <w:pPr>
        <w:pStyle w:val="Normal"/>
        <w:numPr>
          <w:ilvl w:val="0"/>
          <w:numId w:val="15"/>
        </w:numPr>
        <w:ind w:hanging="425" w:lef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Pr>
          <w:szCs w:val="20"/>
          <w:lang w:val="es-BO"/>
        </w:rPr>
      </w:pPr>
      <w:r>
        <w:rPr>
          <w:szCs w:val="20"/>
          <w:lang w:val="es-BO"/>
        </w:rPr>
      </w:r>
    </w:p>
    <w:p>
      <w:pPr>
        <w:pStyle w:val="Normal"/>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Pr>
          <w:rFonts w:cs="Arial"/>
          <w:szCs w:val="18"/>
          <w:lang w:val="es-BO"/>
        </w:rPr>
      </w:pPr>
      <w:r>
        <w:rPr>
          <w:rFonts w:cs="Arial"/>
          <w:szCs w:val="18"/>
          <w:lang w:val="es-BO"/>
        </w:rPr>
      </w:r>
    </w:p>
    <w:p>
      <w:pPr>
        <w:pStyle w:val="SAUL"/>
        <w:numPr>
          <w:ilvl w:val="1"/>
          <w:numId w:val="11"/>
        </w:numPr>
        <w:tabs>
          <w:tab w:val="clear" w:pos="709"/>
        </w:tabs>
        <w:ind w:hanging="708" w:lef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cs="Tahoma"/>
          <w:szCs w:val="18"/>
          <w:lang w:val="es-BO"/>
        </w:rPr>
      </w:pPr>
      <w:r>
        <w:rPr>
          <w:rFonts w:cs="Tahoma"/>
          <w:szCs w:val="18"/>
          <w:lang w:val="es-BO"/>
        </w:rPr>
      </w:r>
    </w:p>
    <w:p>
      <w:pPr>
        <w:pStyle w:val="SAUL"/>
        <w:numPr>
          <w:ilvl w:val="1"/>
          <w:numId w:val="11"/>
        </w:numPr>
        <w:tabs>
          <w:tab w:val="clear" w:pos="709"/>
        </w:tabs>
        <w:ind w:hanging="708" w:lef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rPr>
          <w:rFonts w:cs="Arial"/>
          <w:szCs w:val="18"/>
          <w:lang w:val="es-BO"/>
        </w:rPr>
      </w:pPr>
      <w:r>
        <w:rPr>
          <w:rFonts w:cs="Arial"/>
          <w:szCs w:val="18"/>
          <w:lang w:val="es-BO"/>
        </w:rPr>
        <w:tab/>
      </w:r>
    </w:p>
    <w:p>
      <w:pPr>
        <w:pStyle w:val="Normal"/>
        <w:tabs>
          <w:tab w:val="clear" w:pos="709"/>
          <w:tab w:val="left" w:pos="1134" w:leader="none"/>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itle"/>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1"/>
          <w:numId w:val="11"/>
        </w:numPr>
        <w:tabs>
          <w:tab w:val="clear" w:pos="709"/>
          <w:tab w:val="left" w:pos="1134" w:leader="none"/>
        </w:tabs>
        <w:spacing w:before="0" w:after="0"/>
        <w:ind w:hanging="708" w:left="1134"/>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1"/>
        </w:numPr>
        <w:tabs>
          <w:tab w:val="clear" w:pos="709"/>
        </w:tabs>
        <w:spacing w:before="0" w:after="0"/>
        <w:ind w:hanging="862" w:left="1985"/>
        <w:jc w:val="both"/>
        <w:rPr>
          <w:rFonts w:ascii="Verdana" w:hAnsi="Verdana"/>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1"/>
        </w:numPr>
        <w:tabs>
          <w:tab w:val="clear" w:pos="709"/>
          <w:tab w:val="left" w:pos="1134" w:leader="none"/>
        </w:tabs>
        <w:spacing w:before="0" w:after="0"/>
        <w:ind w:hanging="708" w:left="1134"/>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985"/>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itle"/>
        <w:spacing w:before="0" w:after="0"/>
        <w:ind w:left="1985"/>
        <w:jc w:val="both"/>
        <w:rPr>
          <w:rFonts w:ascii="Verdana" w:hAnsi="Verdana"/>
          <w:b w:val="false"/>
          <w:bCs w:val="false"/>
          <w:sz w:val="18"/>
        </w:rPr>
      </w:pPr>
      <w:r>
        <w:rPr>
          <w:rFonts w:ascii="Verdana" w:hAnsi="Verdana"/>
          <w:b w:val="false"/>
          <w:bCs w:val="false"/>
          <w:sz w:val="18"/>
        </w:rPr>
      </w:r>
    </w:p>
    <w:p>
      <w:pPr>
        <w:pStyle w:val="Title"/>
        <w:numPr>
          <w:ilvl w:val="0"/>
          <w:numId w:val="27"/>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itle"/>
        <w:numPr>
          <w:ilvl w:val="0"/>
          <w:numId w:val="27"/>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 w:val="left" w:pos="1985" w:leader="none"/>
        </w:tabs>
        <w:spacing w:before="0" w:after="0"/>
        <w:ind w:hanging="851" w:left="1985"/>
        <w:jc w:val="both"/>
        <w:rPr>
          <w:rFonts w:ascii="Verdana" w:hAnsi="Verdana"/>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1"/>
        </w:numPr>
        <w:tabs>
          <w:tab w:val="clear" w:pos="709"/>
          <w:tab w:val="left" w:pos="1134" w:leader="none"/>
        </w:tabs>
        <w:spacing w:before="0" w:after="0"/>
        <w:ind w:hanging="708" w:left="1134"/>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11"/>
        </w:numPr>
        <w:tabs>
          <w:tab w:val="clear" w:pos="709"/>
        </w:tabs>
        <w:spacing w:before="0" w:after="0"/>
        <w:ind w:hanging="851" w:left="1985"/>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s>
        <w:spacing w:before="0" w:after="0"/>
        <w:ind w:hanging="851" w:lef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s>
        <w:spacing w:before="0" w:after="0"/>
        <w:ind w:hanging="851" w:left="1985"/>
        <w:jc w:val="both"/>
        <w:rPr>
          <w:rFonts w:ascii="Verdana" w:hAnsi="Verdana"/>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1"/>
        </w:numPr>
        <w:tabs>
          <w:tab w:val="clear" w:pos="709"/>
        </w:tabs>
        <w:spacing w:before="0" w:after="0"/>
        <w:ind w:hanging="851" w:left="1985"/>
        <w:jc w:val="both"/>
        <w:rPr>
          <w:rFonts w:ascii="Verdana" w:hAnsi="Verdana"/>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1"/>
          <w:numId w:val="11"/>
        </w:numPr>
        <w:tabs>
          <w:tab w:val="clear" w:pos="709"/>
        </w:tabs>
        <w:spacing w:before="0" w:after="0"/>
        <w:ind w:hanging="708" w:left="1134"/>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1"/>
        </w:numPr>
        <w:tabs>
          <w:tab w:val="clear" w:pos="709"/>
        </w:tabs>
        <w:spacing w:before="0" w:after="0"/>
        <w:ind w:hanging="708" w:left="1134"/>
        <w:jc w:val="both"/>
        <w:rPr>
          <w:rFonts w:ascii="Verdana" w:hAnsi="Verdana"/>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itle"/>
        <w:numPr>
          <w:ilvl w:val="0"/>
          <w:numId w:val="28"/>
        </w:numPr>
        <w:ind w:hanging="360" w:left="1418"/>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itle"/>
        <w:numPr>
          <w:ilvl w:val="0"/>
          <w:numId w:val="28"/>
        </w:numPr>
        <w:ind w:hanging="360" w:left="1418"/>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itle"/>
        <w:ind w:left="1418"/>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itle"/>
        <w:numPr>
          <w:ilvl w:val="0"/>
          <w:numId w:val="28"/>
        </w:numPr>
        <w:ind w:hanging="360" w:left="1418"/>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itle"/>
        <w:numPr>
          <w:ilvl w:val="0"/>
          <w:numId w:val="28"/>
        </w:numPr>
        <w:ind w:hanging="360" w:left="1418"/>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itle"/>
        <w:ind w:left="1418"/>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itle"/>
        <w:numPr>
          <w:ilvl w:val="0"/>
          <w:numId w:val="28"/>
        </w:numPr>
        <w:ind w:hanging="360" w:left="1418"/>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itle"/>
        <w:numPr>
          <w:ilvl w:val="0"/>
          <w:numId w:val="28"/>
        </w:numPr>
        <w:ind w:hanging="360" w:left="1418"/>
        <w:jc w:val="both"/>
        <w:rPr>
          <w:rFonts w:ascii="Verdana" w:hAnsi="Verdana"/>
          <w:b w:val="false"/>
          <w:bCs w:val="false"/>
          <w:sz w:val="18"/>
          <w:szCs w:val="18"/>
          <w:highlight w:val="yellow"/>
          <w:lang w:val="es-BO"/>
        </w:rPr>
      </w:pPr>
      <w:bookmarkStart w:id="63" w:name="_Toc61867842"/>
      <w:bookmarkStart w:id="64" w:name="_Toc61867840_Copia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itle"/>
        <w:ind w:left="1418"/>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itle"/>
        <w:spacing w:before="0" w:after="60"/>
        <w:ind w:lef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1"/>
        </w:numPr>
        <w:tabs>
          <w:tab w:val="clear" w:pos="709"/>
        </w:tabs>
        <w:spacing w:before="0" w:after="0"/>
        <w:ind w:hanging="708" w:left="1134"/>
        <w:jc w:val="both"/>
        <w:rPr>
          <w:rFonts w:ascii="Verdana" w:hAnsi="Verdana"/>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spacing w:before="0" w:after="0"/>
        <w:ind w:left="1134"/>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numPr>
          <w:ilvl w:val="1"/>
          <w:numId w:val="11"/>
        </w:numPr>
        <w:tabs>
          <w:tab w:val="clear" w:pos="709"/>
        </w:tabs>
        <w:spacing w:before="0" w:after="0"/>
        <w:ind w:hanging="708" w:left="1134"/>
        <w:jc w:val="both"/>
        <w:rPr>
          <w:rFonts w:ascii="Verdana" w:hAnsi="Verdana"/>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itle"/>
        <w:ind w:left="39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itle"/>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Pr>
          <w:rFonts w:cs="Tahoma"/>
          <w:szCs w:val="18"/>
          <w:lang w:val="es-BO" w:eastAsia="en-US"/>
        </w:rPr>
      </w:pPr>
      <w:r>
        <w:rPr>
          <w:rFonts w:cs="Tahoma"/>
          <w:szCs w:val="18"/>
          <w:lang w:val="es-BO" w:eastAsia="en-US"/>
        </w:rPr>
      </w:r>
    </w:p>
    <w:p>
      <w:pPr>
        <w:pStyle w:val="Normal"/>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Pr>
          <w:rFonts w:cs="Arial"/>
          <w:szCs w:val="18"/>
          <w:lang w:val="es-BO"/>
        </w:rPr>
      </w:pPr>
      <w:r>
        <w:rPr>
          <w:rFonts w:cs="Arial"/>
          <w:szCs w:val="18"/>
          <w:lang w:val="es-BO"/>
        </w:rPr>
      </w:r>
    </w:p>
    <w:p>
      <w:pPr>
        <w:pStyle w:val="Normal"/>
        <w:numPr>
          <w:ilvl w:val="0"/>
          <w:numId w:val="16"/>
        </w:numPr>
        <w:tabs>
          <w:tab w:val="clear" w:pos="709"/>
          <w:tab w:val="left" w:pos="1701" w:leader="none"/>
        </w:tabs>
        <w:ind w:hanging="567" w:left="1701"/>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hanging="567" w:lef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hanging="567" w:lef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rPr>
          <w:rFonts w:cs="Arial"/>
          <w:b/>
          <w:i/>
          <w:i/>
          <w:szCs w:val="18"/>
          <w:lang w:val="es-BO"/>
        </w:rPr>
      </w:pPr>
      <w:r>
        <w:rPr>
          <w:rFonts w:cs="Arial"/>
          <w:b/>
          <w:i/>
          <w:szCs w:val="18"/>
          <w:lang w:val="es-BO"/>
        </w:rPr>
      </w:r>
    </w:p>
    <w:p>
      <w:pPr>
        <w:pStyle w:val="Title"/>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Pr>
          <w:rFonts w:cs="Arial"/>
          <w:szCs w:val="18"/>
        </w:rPr>
      </w:pPr>
      <w:r>
        <w:rPr>
          <w:rFonts w:cs="Arial"/>
          <w:szCs w:val="18"/>
        </w:rPr>
      </w:r>
    </w:p>
    <w:p>
      <w:pPr>
        <w:pStyle w:val="Normal"/>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Pr>
          <w:rFonts w:cs="Tahoma"/>
          <w:szCs w:val="18"/>
          <w:lang w:val="es-BO"/>
        </w:rPr>
      </w:pPr>
      <w:r>
        <w:rPr>
          <w:rFonts w:cs="Tahoma"/>
          <w:szCs w:val="18"/>
          <w:lang w:val="es-BO"/>
        </w:rPr>
      </w:r>
    </w:p>
    <w:p>
      <w:pPr>
        <w:pStyle w:val="Title"/>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Title"/>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Pr>
          <w:rFonts w:cs="Tahoma"/>
          <w:szCs w:val="18"/>
          <w:lang w:val="es-BO"/>
        </w:rPr>
      </w:pPr>
      <w:r>
        <w:rPr>
          <w:rFonts w:cs="Tahoma"/>
          <w:szCs w:val="18"/>
          <w:lang w:val="es-BO"/>
        </w:rPr>
      </w:r>
    </w:p>
    <w:p>
      <w:pPr>
        <w:pStyle w:val="Normal"/>
        <w:ind w:lef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Pr>
          <w:rFonts w:ascii="Tahoma" w:hAnsi="Tahoma" w:cs="Tahoma"/>
          <w:szCs w:val="18"/>
          <w:lang w:val="es-BO"/>
        </w:rPr>
      </w:pPr>
      <w:r>
        <w:rPr>
          <w:rFonts w:cs="Tahoma" w:ascii="Tahoma" w:hAnsi="Tahoma"/>
          <w:szCs w:val="18"/>
          <w:lang w:val="es-BO"/>
        </w:rPr>
      </w:r>
    </w:p>
    <w:p>
      <w:pPr>
        <w:pStyle w:val="SAUL"/>
        <w:numPr>
          <w:ilvl w:val="1"/>
          <w:numId w:val="11"/>
        </w:numPr>
        <w:tabs>
          <w:tab w:val="clear" w:pos="709"/>
        </w:tabs>
        <w:ind w:hanging="708" w:left="1134"/>
        <w:rPr>
          <w:rFonts w:cs="Tahoma"/>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1"/>
          <w:numId w:val="11"/>
        </w:numPr>
        <w:tabs>
          <w:tab w:val="clear" w:pos="709"/>
        </w:tabs>
        <w:ind w:hanging="708" w:left="1134"/>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hanging="708" w:left="1134"/>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hanging="708" w:left="1134"/>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hanging="708" w:left="1134"/>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hanging="283" w:lef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Pr>
          <w:rFonts w:cs="Arial"/>
          <w:szCs w:val="18"/>
          <w:lang w:val="es-BO"/>
        </w:rPr>
      </w:pPr>
      <w:r>
        <w:rPr>
          <w:rFonts w:cs="Arial"/>
          <w:szCs w:val="18"/>
          <w:lang w:val="es-BO"/>
        </w:rPr>
      </w:r>
    </w:p>
    <w:p>
      <w:pPr>
        <w:pStyle w:val="SAUL"/>
        <w:numPr>
          <w:ilvl w:val="1"/>
          <w:numId w:val="11"/>
        </w:numPr>
        <w:tabs>
          <w:tab w:val="clear" w:pos="709"/>
        </w:tabs>
        <w:ind w:hanging="708" w:lef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Pr>
          <w:rFonts w:ascii="Verdana" w:hAnsi="Verdana" w:cs="Arial"/>
          <w:sz w:val="18"/>
          <w:szCs w:val="18"/>
          <w:lang w:val="es-BO"/>
        </w:rPr>
      </w:pPr>
      <w:r>
        <w:rPr>
          <w:rFonts w:cs="Arial" w:ascii="Verdana" w:hAnsi="Verdana"/>
          <w:sz w:val="18"/>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Pr>
          <w:rFonts w:ascii="Verdana" w:hAnsi="Verdana" w:cs="Arial"/>
          <w:sz w:val="18"/>
          <w:szCs w:val="18"/>
          <w:lang w:val="es-BO"/>
        </w:rPr>
      </w:pPr>
      <w:r>
        <w:rPr>
          <w:rFonts w:cs="Arial" w:ascii="Verdana" w:hAnsi="Verdana"/>
          <w:sz w:val="18"/>
          <w:szCs w:val="18"/>
          <w:lang w:val="es-BO"/>
        </w:rPr>
      </w:r>
      <w:bookmarkStart w:id="88" w:name="_Toc347485799_Copia_1"/>
      <w:bookmarkStart w:id="89" w:name="_Toc355779887_Copia_1"/>
      <w:bookmarkStart w:id="90" w:name="_Toc347485799_Copia_1"/>
      <w:bookmarkStart w:id="91" w:name="_Toc355779887_Copia_1"/>
      <w:bookmarkEnd w:id="90"/>
      <w:bookmarkEnd w:id="91"/>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Pr>
          <w:rFonts w:cs="Arial"/>
          <w:szCs w:val="18"/>
          <w:lang w:val="es-BO"/>
        </w:rPr>
      </w:pPr>
      <w:r>
        <w:rPr>
          <w:rFonts w:cs="Arial"/>
          <w:szCs w:val="18"/>
          <w:lang w:val="es-BO"/>
        </w:rPr>
      </w:r>
    </w:p>
    <w:p>
      <w:pPr>
        <w:pStyle w:val="Title"/>
        <w:numPr>
          <w:ilvl w:val="0"/>
          <w:numId w:val="11"/>
        </w:numPr>
        <w:spacing w:before="0" w:after="0"/>
        <w:jc w:val="both"/>
        <w:rPr>
          <w:rFonts w:ascii="Verdana" w:hAnsi="Verdana"/>
          <w:sz w:val="18"/>
          <w:szCs w:val="18"/>
          <w:lang w:val="es-BO"/>
        </w:rPr>
      </w:pPr>
      <w:bookmarkStart w:id="92" w:name="_Toc61867856"/>
      <w:r>
        <w:rPr>
          <w:rFonts w:ascii="Verdana" w:hAnsi="Verdana"/>
          <w:sz w:val="18"/>
          <w:szCs w:val="18"/>
          <w:lang w:val="es-BO"/>
        </w:rPr>
        <w:t xml:space="preserve">SUSCRIPCIÓN DE CONTRATO </w:t>
      </w:r>
      <w:bookmarkEnd w:id="92"/>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1"/>
        </w:numPr>
        <w:tabs>
          <w:tab w:val="clear" w:pos="709"/>
        </w:tabs>
        <w:ind w:hanging="708" w:lef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cs="Arial"/>
          <w:szCs w:val="18"/>
          <w:lang w:val="es-BO"/>
        </w:rPr>
      </w:pPr>
      <w:r>
        <w:rPr>
          <w:rFonts w:cs="Arial"/>
          <w:szCs w:val="18"/>
          <w:lang w:val="es-BO"/>
        </w:rPr>
      </w:r>
    </w:p>
    <w:p>
      <w:pPr>
        <w:pStyle w:val="SAUL"/>
        <w:numPr>
          <w:ilvl w:val="1"/>
          <w:numId w:val="11"/>
        </w:numPr>
        <w:tabs>
          <w:tab w:val="clear" w:pos="709"/>
        </w:tabs>
        <w:ind w:hanging="708" w:lef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1"/>
        </w:numPr>
        <w:tabs>
          <w:tab w:val="clear" w:pos="709"/>
        </w:tabs>
        <w:ind w:hanging="708" w:lef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cs="Arial"/>
          <w:szCs w:val="18"/>
          <w:lang w:val="es-BO"/>
        </w:rPr>
      </w:pPr>
      <w:r>
        <w:rPr>
          <w:rFonts w:cs="Arial"/>
          <w:szCs w:val="18"/>
          <w:lang w:val="es-BO"/>
        </w:rPr>
      </w:r>
    </w:p>
    <w:p>
      <w:pPr>
        <w:pStyle w:val="SAUL"/>
        <w:numPr>
          <w:ilvl w:val="1"/>
          <w:numId w:val="11"/>
        </w:numPr>
        <w:tabs>
          <w:tab w:val="clear" w:pos="709"/>
        </w:tabs>
        <w:ind w:hanging="708" w:lef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Pr>
          <w:rFonts w:cs="Arial"/>
          <w:szCs w:val="18"/>
          <w:lang w:val="es-BO"/>
        </w:rPr>
      </w:pPr>
      <w:r>
        <w:rPr>
          <w:rFonts w:cs="Arial"/>
          <w:szCs w:val="18"/>
          <w:lang w:val="es-BO"/>
        </w:rPr>
      </w:r>
    </w:p>
    <w:p>
      <w:pPr>
        <w:pStyle w:val="Title"/>
        <w:numPr>
          <w:ilvl w:val="0"/>
          <w:numId w:val="11"/>
        </w:numPr>
        <w:spacing w:before="0" w:after="0"/>
        <w:jc w:val="both"/>
        <w:rPr>
          <w:rFonts w:ascii="Verdana" w:hAnsi="Verdana"/>
          <w:sz w:val="18"/>
          <w:szCs w:val="18"/>
          <w:lang w:val="es-BO"/>
        </w:rPr>
      </w:pPr>
      <w:bookmarkStart w:id="93" w:name="_Toc61867857"/>
      <w:r>
        <w:rPr>
          <w:rFonts w:ascii="Verdana" w:hAnsi="Verdana"/>
          <w:sz w:val="18"/>
          <w:szCs w:val="18"/>
          <w:lang w:val="es-BO"/>
        </w:rPr>
        <w:t>MODIFICACIONES AL CONTRATO</w:t>
      </w:r>
      <w:bookmarkEnd w:id="93"/>
    </w:p>
    <w:p>
      <w:pPr>
        <w:pStyle w:val="Normal"/>
        <w:rPr>
          <w:rFonts w:cs="Arial"/>
          <w:b/>
          <w:szCs w:val="18"/>
          <w:lang w:val="es-BO"/>
        </w:rPr>
      </w:pPr>
      <w:r>
        <w:rPr>
          <w:rFonts w:cs="Arial"/>
          <w:b/>
          <w:szCs w:val="18"/>
          <w:lang w:val="es-BO"/>
        </w:rPr>
      </w:r>
    </w:p>
    <w:p>
      <w:pPr>
        <w:pStyle w:val="Normal"/>
        <w:ind w:left="426"/>
        <w:rPr>
          <w:szCs w:val="18"/>
          <w:lang w:val="es-BO" w:eastAsia="es-BO"/>
        </w:rPr>
      </w:pPr>
      <w:r>
        <w:rPr>
          <w:szCs w:val="18"/>
          <w:lang w:val="es-BO" w:eastAsia="es-BO"/>
        </w:rPr>
        <w:t>Las modificaciones al contrato podrán efectuarse mediante:</w:t>
      </w:r>
    </w:p>
    <w:p>
      <w:pPr>
        <w:pStyle w:val="Normal"/>
        <w:ind w:left="720"/>
        <w:rPr>
          <w:szCs w:val="18"/>
          <w:lang w:val="es-BO" w:eastAsia="es-BO"/>
        </w:rPr>
      </w:pPr>
      <w:r>
        <w:rPr>
          <w:szCs w:val="18"/>
          <w:lang w:val="es-BO" w:eastAsia="es-BO"/>
        </w:rPr>
      </w:r>
    </w:p>
    <w:p>
      <w:pPr>
        <w:pStyle w:val="Normal"/>
        <w:numPr>
          <w:ilvl w:val="1"/>
          <w:numId w:val="8"/>
        </w:numPr>
        <w:tabs>
          <w:tab w:val="clear" w:pos="709"/>
        </w:tabs>
        <w:ind w:hanging="567" w:left="1418"/>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Pr>
          <w:szCs w:val="18"/>
          <w:lang w:val="es-BO" w:eastAsia="es-BO"/>
        </w:rPr>
      </w:pPr>
      <w:r>
        <w:rPr>
          <w:szCs w:val="18"/>
          <w:lang w:val="es-BO" w:eastAsia="es-BO"/>
        </w:rPr>
      </w:r>
    </w:p>
    <w:p>
      <w:pPr>
        <w:pStyle w:val="Normal"/>
        <w:numPr>
          <w:ilvl w:val="1"/>
          <w:numId w:val="8"/>
        </w:numPr>
        <w:tabs>
          <w:tab w:val="clear" w:pos="709"/>
          <w:tab w:val="left" w:pos="1418" w:leader="none"/>
        </w:tabs>
        <w:ind w:hanging="567" w:left="1418"/>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Pr>
          <w:szCs w:val="18"/>
          <w:lang w:val="es-BO" w:eastAsia="es-BO"/>
        </w:rPr>
      </w:pPr>
      <w:r>
        <w:rPr>
          <w:szCs w:val="18"/>
          <w:lang w:val="es-BO" w:eastAsia="es-BO"/>
        </w:rPr>
      </w:r>
    </w:p>
    <w:p>
      <w:pPr>
        <w:pStyle w:val="Normal"/>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Pr>
          <w:rFonts w:cs="Arial"/>
          <w:szCs w:val="18"/>
          <w:lang w:val="es-BO"/>
        </w:rPr>
      </w:pPr>
      <w:r>
        <w:rPr>
          <w:rFonts w:cs="Arial"/>
          <w:szCs w:val="18"/>
          <w:lang w:val="es-BO"/>
        </w:rPr>
      </w:r>
    </w:p>
    <w:p>
      <w:pPr>
        <w:pStyle w:val="Title"/>
        <w:numPr>
          <w:ilvl w:val="0"/>
          <w:numId w:val="11"/>
        </w:numPr>
        <w:spacing w:before="0" w:after="0"/>
        <w:jc w:val="both"/>
        <w:rPr>
          <w:rFonts w:ascii="Verdana" w:hAnsi="Verdana"/>
          <w:sz w:val="18"/>
          <w:szCs w:val="18"/>
          <w:lang w:val="es-BO"/>
        </w:rPr>
      </w:pPr>
      <w:bookmarkStart w:id="94" w:name="_Toc61867858"/>
      <w:r>
        <w:rPr>
          <w:rFonts w:ascii="Verdana" w:hAnsi="Verdana"/>
          <w:sz w:val="18"/>
          <w:szCs w:val="18"/>
          <w:lang w:val="es-BO"/>
        </w:rPr>
        <w:t>CIERRE DEL CONTRATO Y PAGO</w:t>
      </w:r>
      <w:bookmarkEnd w:id="94"/>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SAUL"/>
        <w:numPr>
          <w:ilvl w:val="1"/>
          <w:numId w:val="11"/>
        </w:numPr>
        <w:tabs>
          <w:tab w:val="clear" w:pos="709"/>
        </w:tabs>
        <w:ind w:hanging="708" w:lef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Pr>
          <w:rFonts w:cs="Arial"/>
          <w:szCs w:val="18"/>
        </w:rPr>
      </w:pPr>
      <w:r>
        <w:rPr>
          <w:rFonts w:cs="Arial"/>
          <w:szCs w:val="18"/>
        </w:rPr>
      </w:r>
    </w:p>
    <w:p>
      <w:pPr>
        <w:pStyle w:val="SAUL"/>
        <w:numPr>
          <w:ilvl w:val="0"/>
          <w:numId w:val="0"/>
        </w:numPr>
        <w:ind w:hanging="177" w:lef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1"/>
        </w:numPr>
        <w:tabs>
          <w:tab w:val="clear" w:pos="709"/>
        </w:tabs>
        <w:ind w:hanging="708" w:left="1134"/>
        <w:rPr>
          <w:szCs w:val="18"/>
          <w:lang w:val="es-BO"/>
        </w:rPr>
      </w:pPr>
      <w:bookmarkStart w:id="95" w:name="_Toc347485804"/>
      <w:bookmarkStart w:id="96"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5"/>
      <w:bookmarkEnd w:id="96"/>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left="1134"/>
        <w:rPr>
          <w:szCs w:val="18"/>
          <w:lang w:val="es-BO"/>
        </w:rPr>
      </w:pPr>
      <w:bookmarkStart w:id="97" w:name="_Toc347485805"/>
      <w:bookmarkStart w:id="98"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7"/>
      <w:bookmarkEnd w:id="98"/>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9" w:name="_Toc355779896"/>
      <w:r>
        <w:rPr>
          <w:b/>
          <w:lang w:val="es-BO"/>
        </w:rPr>
        <w:t>PARTE II</w:t>
      </w:r>
      <w:bookmarkEnd w:id="99"/>
    </w:p>
    <w:p>
      <w:pPr>
        <w:pStyle w:val="Normal"/>
        <w:jc w:val="center"/>
        <w:rPr>
          <w:b/>
          <w:lang w:val="es-BO"/>
        </w:rPr>
      </w:pPr>
      <w:bookmarkStart w:id="100" w:name="_Toc347485809"/>
      <w:bookmarkStart w:id="101" w:name="_Toc355779897"/>
      <w:r>
        <w:rPr>
          <w:b/>
          <w:lang w:val="es-BO"/>
        </w:rPr>
        <w:t>INFORMACIÓN TÉCNICA DE LA CONTRATACIÓN</w:t>
      </w:r>
      <w:bookmarkEnd w:id="100"/>
      <w:bookmarkEnd w:id="101"/>
    </w:p>
    <w:p>
      <w:pPr>
        <w:pStyle w:val="Normal"/>
        <w:ind w:left="705"/>
        <w:rPr>
          <w:rFonts w:cs="Arial"/>
          <w:szCs w:val="18"/>
          <w:lang w:val="es-BO"/>
        </w:rPr>
      </w:pPr>
      <w:r>
        <w:rPr>
          <w:rFonts w:cs="Arial"/>
          <w:szCs w:val="18"/>
          <w:lang w:val="es-BO"/>
        </w:rPr>
      </w:r>
    </w:p>
    <w:p>
      <w:pPr>
        <w:pStyle w:val="Title"/>
        <w:numPr>
          <w:ilvl w:val="0"/>
          <w:numId w:val="11"/>
        </w:numPr>
        <w:spacing w:before="0" w:after="0"/>
        <w:jc w:val="both"/>
        <w:rPr>
          <w:rFonts w:ascii="Verdana" w:hAnsi="Verdana"/>
          <w:sz w:val="18"/>
          <w:szCs w:val="18"/>
          <w:lang w:val="es-BO"/>
        </w:rPr>
      </w:pPr>
      <w:bookmarkStart w:id="102" w:name="_Toc61867859"/>
      <w:r>
        <w:rPr>
          <w:rFonts w:ascii="Verdana" w:hAnsi="Verdana"/>
          <w:sz w:val="18"/>
          <w:szCs w:val="18"/>
          <w:lang w:val="es-BO"/>
        </w:rPr>
        <w:t>CONVOCATORIA Y DATOS GENERALES DEL PROCESO DE CONTRATACIÓN</w:t>
      </w:r>
      <w:bookmarkEnd w:id="102"/>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0"/>
        <w:gridCol w:w="281"/>
        <w:gridCol w:w="276"/>
        <w:gridCol w:w="274"/>
        <w:gridCol w:w="281"/>
        <w:gridCol w:w="274"/>
        <w:gridCol w:w="273"/>
        <w:gridCol w:w="273"/>
        <w:gridCol w:w="274"/>
        <w:gridCol w:w="277"/>
        <w:gridCol w:w="275"/>
        <w:gridCol w:w="274"/>
        <w:gridCol w:w="272"/>
        <w:gridCol w:w="273"/>
        <w:gridCol w:w="272"/>
        <w:gridCol w:w="275"/>
        <w:gridCol w:w="277"/>
        <w:gridCol w:w="819"/>
        <w:gridCol w:w="820"/>
        <w:gridCol w:w="263"/>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2"/>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12"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20"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1" w:type="dxa"/>
            <w:tcBorders>
              <w:top w:val="nil"/>
              <w:bottom w:val="nil"/>
              <w:right w:val="nil"/>
            </w:tcBorders>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1" w:type="dxa"/>
            <w:gridSpan w:val="4"/>
            <w:vMerge w:val="restart"/>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ANPE GDMTR N° 9/2026</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91"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20"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09"/>
        <w:gridCol w:w="305"/>
        <w:gridCol w:w="304"/>
        <w:gridCol w:w="276"/>
        <w:gridCol w:w="302"/>
        <w:gridCol w:w="309"/>
        <w:gridCol w:w="273"/>
        <w:gridCol w:w="267"/>
        <w:gridCol w:w="268"/>
        <w:gridCol w:w="269"/>
        <w:gridCol w:w="266"/>
        <w:gridCol w:w="265"/>
        <w:gridCol w:w="266"/>
        <w:gridCol w:w="267"/>
        <w:gridCol w:w="273"/>
        <w:gridCol w:w="309"/>
        <w:gridCol w:w="273"/>
        <w:gridCol w:w="305"/>
        <w:gridCol w:w="812"/>
        <w:gridCol w:w="795"/>
        <w:gridCol w:w="255"/>
      </w:tblGrid>
      <w:tr>
        <w:trPr/>
        <w:tc>
          <w:tcPr>
            <w:tcW w:w="217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8</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5" w:type="dxa"/>
            <w:tcBorders>
              <w:lef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5"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6"/>
        <w:gridCol w:w="272"/>
        <w:gridCol w:w="274"/>
        <w:gridCol w:w="274"/>
        <w:gridCol w:w="284"/>
        <w:gridCol w:w="276"/>
        <w:gridCol w:w="275"/>
        <w:gridCol w:w="276"/>
        <w:gridCol w:w="274"/>
        <w:gridCol w:w="274"/>
        <w:gridCol w:w="271"/>
        <w:gridCol w:w="273"/>
        <w:gridCol w:w="273"/>
        <w:gridCol w:w="272"/>
        <w:gridCol w:w="273"/>
        <w:gridCol w:w="272"/>
        <w:gridCol w:w="275"/>
        <w:gridCol w:w="275"/>
        <w:gridCol w:w="273"/>
        <w:gridCol w:w="273"/>
        <w:gridCol w:w="272"/>
        <w:gridCol w:w="271"/>
        <w:gridCol w:w="272"/>
        <w:gridCol w:w="272"/>
        <w:gridCol w:w="273"/>
        <w:gridCol w:w="273"/>
        <w:gridCol w:w="262"/>
      </w:tblGrid>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33" w:type="dxa"/>
            <w:gridSpan w:val="28"/>
            <w:tcBorders/>
            <w:shd w:color="auto" w:fill="DBE5F1" w:themeFill="accent1" w:themeFillTint="33" w:val="clear"/>
          </w:tcPr>
          <w:p>
            <w:pPr>
              <w:pStyle w:val="Normal"/>
              <w:widowControl/>
              <w:tabs>
                <w:tab w:val="clear" w:pos="709"/>
                <w:tab w:val="left" w:pos="1634" w:leader="none"/>
              </w:tabs>
              <w:suppressAutoHyphens w:val="true"/>
              <w:spacing w:before="0" w:after="0"/>
              <w:rPr>
                <w:highlight w:val="none"/>
                <w:shd w:fill="auto" w:val="clear"/>
              </w:rPr>
            </w:pPr>
            <w:r>
              <w:rPr>
                <w:rFonts w:eastAsia="Times New Roman" w:cs="Arial" w:ascii="Arial" w:hAnsi="Arial"/>
                <w:b/>
                <w:kern w:val="0"/>
                <w:szCs w:val="18"/>
                <w:shd w:fill="auto" w:val="clear"/>
                <w:lang w:val="es-BO" w:bidi="ar-SA"/>
              </w:rPr>
              <w:t>CONTRATACIÓN DE UN (1) CONSULTOR INDIVIDUAL  DE LINEA – TÉCNICO I PARA EL PROYECTO “CONCLUSIÓN DE PROCESOS DE COBRO Y SU REGISTRO EN EL SISTEMA DE COBRANZA COACTIVA” GERENCIA DISTRITAL MONTERO – GESTIÓN 2026.</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21"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2" w:type="dxa"/>
            <w:gridSpan w:val="10"/>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1" w:type="dxa"/>
            <w:gridSpan w:val="8"/>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7" w:type="dxa"/>
            <w:gridSpan w:val="9"/>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9" w:type="dxa"/>
            <w:gridSpan w:val="19"/>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highlight w:val="none"/>
                <w:shd w:fill="auto" w:val="clear"/>
                <w:lang w:val="es-BO"/>
              </w:rPr>
            </w:pPr>
            <w:r>
              <w:rPr>
                <w:rFonts w:cs="Arial" w:ascii="Arial" w:hAnsi="Arial"/>
                <w:sz w:val="16"/>
                <w:shd w:fill="auto" w:val="clear"/>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TOTAL: Bs63.370.- (Sesenta y Tres Mil Trecientos Setenta 00/100 Bolivianos)</w:t>
            </w:r>
          </w:p>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Mensual: Bs6.337.- (Seis mil trecientos treinta y siete 00/100 Bolivianos)</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389" w:type="dxa"/>
            <w:gridSpan w:val="16"/>
            <w:tcBorders>
              <w:top w:val="nil"/>
              <w:bottom w:val="nil"/>
              <w:right w:val="nil"/>
            </w:tcBorders>
            <w:vAlign w:val="cente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val="es-BO" w:bidi="ar-SA"/>
              </w:rPr>
              <w:t>A PARTIR DEL DÍA SIGUIENTE HÁBIL DE LA SUSCRIPCIÓN DE CONTRATO HASTA EL 31 DE DICIEMBRE DE 2026.</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6"/>
        <w:gridCol w:w="275"/>
        <w:gridCol w:w="276"/>
        <w:gridCol w:w="278"/>
        <w:gridCol w:w="279"/>
        <w:gridCol w:w="280"/>
        <w:gridCol w:w="275"/>
        <w:gridCol w:w="273"/>
        <w:gridCol w:w="280"/>
        <w:gridCol w:w="272"/>
        <w:gridCol w:w="272"/>
        <w:gridCol w:w="272"/>
        <w:gridCol w:w="271"/>
        <w:gridCol w:w="272"/>
        <w:gridCol w:w="272"/>
        <w:gridCol w:w="272"/>
        <w:gridCol w:w="274"/>
        <w:gridCol w:w="274"/>
        <w:gridCol w:w="272"/>
        <w:gridCol w:w="272"/>
        <w:gridCol w:w="272"/>
        <w:gridCol w:w="272"/>
        <w:gridCol w:w="271"/>
        <w:gridCol w:w="272"/>
        <w:gridCol w:w="272"/>
        <w:gridCol w:w="273"/>
        <w:gridCol w:w="273"/>
        <w:gridCol w:w="262"/>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02" w:type="dxa"/>
            <w:gridSpan w:val="27"/>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restart"/>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continue"/>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1"/>
        <w:gridCol w:w="279"/>
        <w:gridCol w:w="274"/>
        <w:gridCol w:w="275"/>
        <w:gridCol w:w="57"/>
        <w:gridCol w:w="216"/>
        <w:gridCol w:w="276"/>
        <w:gridCol w:w="280"/>
        <w:gridCol w:w="280"/>
        <w:gridCol w:w="281"/>
        <w:gridCol w:w="283"/>
        <w:gridCol w:w="271"/>
        <w:gridCol w:w="277"/>
        <w:gridCol w:w="280"/>
        <w:gridCol w:w="281"/>
        <w:gridCol w:w="276"/>
        <w:gridCol w:w="274"/>
        <w:gridCol w:w="281"/>
        <w:gridCol w:w="274"/>
        <w:gridCol w:w="273"/>
        <w:gridCol w:w="273"/>
        <w:gridCol w:w="274"/>
        <w:gridCol w:w="277"/>
        <w:gridCol w:w="275"/>
        <w:gridCol w:w="274"/>
        <w:gridCol w:w="116"/>
        <w:gridCol w:w="156"/>
        <w:gridCol w:w="273"/>
        <w:gridCol w:w="272"/>
        <w:gridCol w:w="275"/>
        <w:gridCol w:w="277"/>
        <w:gridCol w:w="273"/>
        <w:gridCol w:w="273"/>
        <w:gridCol w:w="127"/>
        <w:gridCol w:w="146"/>
        <w:gridCol w:w="272"/>
        <w:gridCol w:w="273"/>
        <w:gridCol w:w="275"/>
        <w:gridCol w:w="263"/>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1" w:type="dxa"/>
            <w:gridSpan w:val="20"/>
            <w:vMerge w:val="restart"/>
            <w:tcBorders>
              <w:top w:val="nil"/>
              <w:left w:val="nil"/>
              <w:bottom w:val="nil"/>
              <w:right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5" w:type="dxa"/>
            <w:vMerge w:val="restart"/>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restart"/>
            <w:tcBorders>
              <w:top w:val="nil"/>
              <w:left w:val="nil"/>
              <w:bottom w:val="nil"/>
              <w:right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41" w:type="dxa"/>
            <w:gridSpan w:val="20"/>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5" w:type="dxa"/>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1"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1"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0" w:type="dxa"/>
            <w:gridSpan w:val="35"/>
            <w:tcBorders>
              <w:top w:val="nil"/>
              <w:left w:val="single" w:sz="12" w:space="0" w:color="244061"/>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2"/>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lef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0"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6"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8:00 A 18:30</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40" w:type="dxa"/>
            <w:gridSpan w:val="11"/>
            <w:tcBorders>
              <w:top w:val="nil"/>
              <w:left w:val="nil"/>
              <w:right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9" w:type="dxa"/>
            <w:gridSpan w:val="7"/>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0" w:type="dxa"/>
            <w:gridSpan w:val="11"/>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Maribel Huarachi Perez</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Roxana Burgos Gonzales</w:t>
            </w:r>
          </w:p>
        </w:tc>
        <w:tc>
          <w:tcPr>
            <w:tcW w:w="275"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366" w:type="dxa"/>
            <w:gridSpan w:val="6"/>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Técnico I</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Supervisor XII</w:t>
            </w:r>
          </w:p>
        </w:tc>
        <w:tc>
          <w:tcPr>
            <w:tcW w:w="277"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39" w:type="dxa"/>
            <w:gridSpan w:val="7"/>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GDMTR</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w:t>
            </w:r>
            <w:r>
              <w:rPr>
                <w:rFonts w:eastAsia="Times New Roman" w:cs="Arial" w:ascii="Arial" w:hAnsi="Arial"/>
                <w:kern w:val="0"/>
                <w:sz w:val="16"/>
                <w:shd w:fill="auto" w:val="clear"/>
                <w:lang w:val="es-BO" w:bidi="ar-SA"/>
              </w:rPr>
              <w:t>DMTR</w:t>
            </w:r>
          </w:p>
        </w:tc>
        <w:tc>
          <w:tcPr>
            <w:tcW w:w="263"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9220722</w:t>
            </w:r>
          </w:p>
        </w:tc>
        <w:tc>
          <w:tcPr>
            <w:tcW w:w="281" w:type="dxa"/>
            <w:tcBorders>
              <w:top w:val="nil"/>
              <w:bottom w:val="nil"/>
              <w:right w:val="nil"/>
            </w:tcBorders>
            <w:vAlign w:val="cente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554" w:type="dxa"/>
            <w:gridSpan w:val="2"/>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Fax</w:t>
            </w:r>
          </w:p>
        </w:tc>
        <w:tc>
          <w:tcPr>
            <w:tcW w:w="1114" w:type="dxa"/>
            <w:gridSpan w:val="4"/>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52" w:type="dxa"/>
            <w:gridSpan w:val="6"/>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Times New Roman"/>
                <w:kern w:val="0"/>
                <w:sz w:val="14"/>
                <w:u w:val="single"/>
                <w:shd w:fill="auto" w:val="clear"/>
                <w:lang w:bidi="ar-SA"/>
              </w:rPr>
              <w:t>maribel.huarachi@impuestos.gob.bo</w:t>
            </w:r>
          </w:p>
          <w:p>
            <w:pPr>
              <w:pStyle w:val="Normal"/>
              <w:widowControl/>
              <w:suppressAutoHyphens w:val="true"/>
              <w:spacing w:before="0" w:after="0"/>
              <w:rPr>
                <w:highlight w:val="none"/>
                <w:shd w:fill="auto" w:val="clear"/>
              </w:rPr>
            </w:pPr>
            <w:r>
              <w:rPr>
                <w:rFonts w:eastAsia="Times New Roman" w:cs="Arial" w:ascii="Arial" w:hAnsi="Arial"/>
                <w:kern w:val="0"/>
                <w:sz w:val="14"/>
                <w:szCs w:val="14"/>
                <w:u w:val="single"/>
                <w:shd w:fill="auto" w:val="clear"/>
                <w:lang w:bidi="ar-SA"/>
              </w:rPr>
              <w:t>roxana.burgos@impuestos.gob.bo</w:t>
            </w:r>
          </w:p>
        </w:tc>
        <w:tc>
          <w:tcPr>
            <w:tcW w:w="275" w:type="dxa"/>
            <w:tcBorders>
              <w:top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6"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5" w:type="dxa"/>
            <w:tcBorders>
              <w:top w:val="nil"/>
              <w:left w:val="single" w:sz="6" w:space="0" w:color="000000"/>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1" w:type="dxa"/>
            <w:tcBorders>
              <w:top w:val="nil"/>
              <w:left w:val="single" w:sz="12" w:space="0" w:color="244061"/>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9"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left w:val="nil"/>
              <w:bottom w:val="single" w:sz="12" w:space="0" w:color="244061"/>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0" w:type="dxa"/>
        <w:jc w:val="left"/>
        <w:tblInd w:w="-14" w:type="dxa"/>
        <w:tblLayout w:type="fixed"/>
        <w:tblCellMar>
          <w:top w:w="0" w:type="dxa"/>
          <w:left w:w="70" w:type="dxa"/>
          <w:bottom w:w="0" w:type="dxa"/>
          <w:right w:w="70" w:type="dxa"/>
        </w:tblCellMar>
        <w:tblLook w:val="04a0" w:noHBand="0" w:noVBand="1" w:firstColumn="1" w:lastRow="0" w:lastColumn="0" w:firstRow="1"/>
      </w:tblPr>
      <w:tblGrid>
        <w:gridCol w:w="439"/>
        <w:gridCol w:w="3532"/>
        <w:gridCol w:w="134"/>
        <w:gridCol w:w="134"/>
        <w:gridCol w:w="385"/>
        <w:gridCol w:w="134"/>
        <w:gridCol w:w="390"/>
        <w:gridCol w:w="134"/>
        <w:gridCol w:w="569"/>
        <w:gridCol w:w="91"/>
        <w:gridCol w:w="134"/>
        <w:gridCol w:w="476"/>
        <w:gridCol w:w="252"/>
        <w:gridCol w:w="458"/>
        <w:gridCol w:w="135"/>
        <w:gridCol w:w="141"/>
        <w:gridCol w:w="2189"/>
        <w:gridCol w:w="190"/>
      </w:tblGrid>
      <w:tr>
        <w:trPr>
          <w:trHeight w:val="464" w:hRule="atLeast"/>
        </w:trPr>
        <w:tc>
          <w:tcPr>
            <w:tcW w:w="9917"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17"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rPr>
                <w:lang w:val="es-BO"/>
              </w:rPr>
            </w:pPr>
            <w:r>
              <w:rPr>
                <w:lang w:val="es-BO"/>
              </w:rPr>
              <w:t>De acuerdo con lo establecido en el Artículo 47 de las NB-SABS, los siguientes plazos son de cumplimiento obligatorio:</w:t>
            </w:r>
          </w:p>
          <w:p>
            <w:pPr>
              <w:pStyle w:val="Normal"/>
              <w:ind w:left="510" w:right="113"/>
              <w:rPr>
                <w:lang w:val="es-BO"/>
              </w:rPr>
            </w:pPr>
            <w:r>
              <w:rPr>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rPr>
                <w:lang w:val="es-BO"/>
              </w:rPr>
            </w:pPr>
            <w:r>
              <w:rPr>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6"/>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rPr>
                <w:rFonts w:ascii="Verdana" w:hAnsi="Verdana"/>
                <w:sz w:val="16"/>
                <w:szCs w:val="16"/>
                <w:lang w:val="es-BO"/>
              </w:rPr>
            </w:pPr>
            <w:r>
              <w:rPr>
                <w:rFonts w:ascii="Verdana" w:hAnsi="Verdana"/>
                <w:sz w:val="16"/>
                <w:szCs w:val="16"/>
                <w:lang w:val="es-BO"/>
              </w:rPr>
            </w:r>
          </w:p>
          <w:p>
            <w:pPr>
              <w:pStyle w:val="Normal"/>
              <w:ind w:right="113"/>
              <w:rPr>
                <w:lang w:val="es-BO"/>
              </w:rPr>
            </w:pPr>
            <w:r>
              <w:rPr>
                <w:b/>
                <w:lang w:val="es-BO"/>
              </w:rPr>
              <w:t>El incumplimiento a los plazos señalados será considerado como inobservancia a la normativa.</w:t>
            </w:r>
          </w:p>
        </w:tc>
      </w:tr>
      <w:tr>
        <w:trPr>
          <w:trHeight w:val="405" w:hRule="atLeast"/>
        </w:trPr>
        <w:tc>
          <w:tcPr>
            <w:tcW w:w="9917"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837"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55"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0"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0"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rPr>
                <w:rFonts w:ascii="Arial" w:hAnsi="Arial" w:cs="Arial"/>
                <w:lang w:val="es-BO"/>
              </w:rPr>
            </w:pPr>
            <w:r>
              <w:rPr>
                <w:rFonts w:cs="Arial" w:ascii="Arial" w:hAnsi="Arial"/>
                <w:lang w:val="es-BO"/>
              </w:rPr>
            </w:r>
          </w:p>
          <w:p>
            <w:pPr>
              <w:pStyle w:val="Normal"/>
              <w:snapToGrid w:val="false"/>
              <w:ind w:left="113" w:right="113"/>
              <w:rPr>
                <w:rFonts w:ascii="Arial" w:hAnsi="Arial" w:cs="Arial"/>
                <w:lang w:val="es-BO"/>
              </w:rPr>
            </w:pPr>
            <w:r>
              <w:rPr>
                <w:rFonts w:cs="Arial" w:ascii="Arial" w:hAnsi="Arial"/>
                <w:lang w:val="es-BO"/>
              </w:rPr>
              <w:t>Fecha límite de Presentación</w:t>
            </w:r>
          </w:p>
          <w:p>
            <w:pPr>
              <w:pStyle w:val="Normal"/>
              <w:snapToGrid w:val="false"/>
              <w:ind w:left="113" w:right="113"/>
              <w:rPr>
                <w:rFonts w:ascii="Arial" w:hAnsi="Arial" w:cs="Arial"/>
                <w:lang w:val="es-BO"/>
              </w:rPr>
            </w:pPr>
            <w:r>
              <w:rPr>
                <w:rFonts w:cs="Arial" w:ascii="Arial" w:hAnsi="Arial"/>
                <w:lang w:val="es-BO"/>
              </w:rPr>
            </w:r>
          </w:p>
          <w:p>
            <w:pPr>
              <w:pStyle w:val="Normal"/>
              <w:snapToGrid w:val="false"/>
              <w:ind w:right="113"/>
              <w:rPr>
                <w:rFonts w:ascii="Arial" w:hAnsi="Arial" w:cs="Arial"/>
                <w:lang w:val="es-BO"/>
              </w:rPr>
            </w:pPr>
            <w:r>
              <w:rPr>
                <w:rFonts w:cs="Arial" w:ascii="Arial" w:hAnsi="Arial"/>
                <w:lang w:val="es-BO"/>
              </w:rPr>
            </w:r>
          </w:p>
          <w:p>
            <w:pPr>
              <w:pStyle w:val="Normal"/>
              <w:snapToGrid w:val="false"/>
              <w:ind w:right="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25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A TRAVÉS DEL RUPE DEL PROPONENTE</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UBICADO EN LA CALLE ABAROA N.º 130–  o a través del enlace</w:t>
            </w:r>
          </w:p>
          <w:p>
            <w:pPr>
              <w:pStyle w:val="Normal"/>
              <w:snapToGrid w:val="false"/>
              <w:jc w:val="center"/>
              <w:rPr>
                <w:highlight w:val="none"/>
                <w:shd w:fill="auto" w:val="clear"/>
              </w:rPr>
            </w:pPr>
            <w:r>
              <w:rPr>
                <w:rFonts w:cs="Arial" w:ascii="Arial" w:hAnsi="Arial"/>
                <w:color w:val="0000FF"/>
                <w:u w:val="single"/>
                <w:shd w:fill="auto" w:val="clear"/>
              </w:rPr>
              <w:t>https://sinbolivia.webex.com/meet/gdmtr.sac</w:t>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5"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6"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7</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91"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vMerge w:val="continue"/>
            <w:tcBorders>
              <w:top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9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89"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8</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9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89"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2"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5"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91"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89"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0"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0"/>
          <w:numId w:val="11"/>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hanging="705" w:left="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rPr>
          <w:rFonts w:ascii="Tahoma" w:hAnsi="Tahoma" w:eastAsia="MS Mincho" w:cs="Tahoma"/>
          <w:sz w:val="20"/>
          <w:szCs w:val="24"/>
          <w:lang w:val="es-BO"/>
        </w:rPr>
      </w:pPr>
      <w:r>
        <w:rPr>
          <w:rFonts w:eastAsia="MS Mincho" w:cs="Tahoma" w:ascii="Tahoma" w:hAnsi="Tahoma"/>
          <w:sz w:val="20"/>
          <w:szCs w:val="24"/>
          <w:lang w:val="es-BO"/>
        </w:rPr>
      </w:r>
    </w:p>
    <w:p>
      <w:pPr>
        <w:pStyle w:val="Sinespaciado1"/>
        <w:jc w:val="center"/>
        <w:rPr>
          <w:b/>
          <w:lang w:val="es-MX"/>
        </w:rPr>
      </w:pPr>
      <w:r>
        <w:rPr>
          <w:rFonts w:cs="Tahoma" w:ascii="Tahoma" w:hAnsi="Tahoma"/>
          <w:b/>
          <w:i w:val="false"/>
          <w:iCs w:val="false"/>
          <w:color w:val="000000"/>
          <w:sz w:val="20"/>
          <w:szCs w:val="20"/>
          <w:shd w:fill="auto" w:val="clear"/>
          <w:lang w:val="es-MX" w:eastAsia="es-MX"/>
        </w:rPr>
        <w:t>TÉRMINOS DE REFERENCIA</w:t>
      </w:r>
    </w:p>
    <w:p>
      <w:pPr>
        <w:pStyle w:val="Sinespaciado1"/>
        <w:jc w:val="center"/>
        <w:rPr>
          <w:rFonts w:ascii="Tahoma" w:hAnsi="Tahoma" w:cs="Tahoma"/>
          <w:b/>
          <w:bCs/>
          <w:i/>
          <w:i/>
          <w:color w:val="000000"/>
          <w:sz w:val="22"/>
          <w:szCs w:val="22"/>
          <w:shd w:fill="auto" w:val="clear"/>
          <w:lang w:val="es-MX" w:eastAsia="es-MX"/>
        </w:rPr>
      </w:pPr>
      <w:r>
        <w:rPr>
          <w:rFonts w:cs="Tahoma" w:ascii="Tahoma" w:hAnsi="Tahoma"/>
          <w:b/>
          <w:bCs/>
          <w:i/>
          <w:color w:val="000000"/>
          <w:sz w:val="22"/>
          <w:szCs w:val="22"/>
          <w:shd w:fill="auto" w:val="clear"/>
          <w:lang w:val="es-MX" w:eastAsia="es-MX"/>
        </w:rPr>
      </w:r>
    </w:p>
    <w:p>
      <w:pPr>
        <w:pStyle w:val="Normal"/>
        <w:keepNext w:val="false"/>
        <w:keepLines w:val="false"/>
        <w:widowControl/>
        <w:jc w:val="center"/>
        <w:textAlignment w:val="center"/>
        <w:rPr>
          <w:rFonts w:ascii="Tahoma" w:hAnsi="Tahoma" w:eastAsia="Tahoma" w:cs="Tahoma"/>
          <w:b/>
          <w:bCs/>
          <w:i w:val="false"/>
          <w:i w:val="false"/>
          <w:iCs w:val="false"/>
          <w:color w:val="000000"/>
          <w:sz w:val="20"/>
          <w:szCs w:val="20"/>
          <w:u w:val="none"/>
        </w:rPr>
      </w:pPr>
      <w:r>
        <w:rPr>
          <w:rFonts w:eastAsia="Tahoma" w:cs="Tahoma" w:ascii="Tahoma" w:hAnsi="Tahoma"/>
          <w:b/>
          <w:bCs/>
          <w:i w:val="false"/>
          <w:iCs w:val="false"/>
          <w:color w:val="000000"/>
          <w:sz w:val="20"/>
          <w:szCs w:val="20"/>
          <w:u w:val="none"/>
        </w:rPr>
        <w:t>CONTRATACIÓN DE  (1) CONSULTOR INDIVIDUAL DE LINEA – TÉCNICO I   PARA EL PROYECTO "CONCLUSIÓN DE PROCESOS DE COBRO Y SU REGISTRO EN  EL SISTEMA DE COBRANZA COACTIVA”  GERENCIA  DISTRITAL MONTERO - GESTIÓN 2026.</w:t>
      </w:r>
    </w:p>
    <w:p>
      <w:pPr>
        <w:pStyle w:val="Normal"/>
        <w:widowControl/>
        <w:jc w:val="center"/>
        <w:textAlignment w:val="center"/>
        <w:rPr>
          <w:rFonts w:ascii="Tahoma" w:hAnsi="Tahoma" w:eastAsia="Tahoma" w:cs="Tahoma"/>
          <w:b/>
          <w:bCs/>
          <w:i w:val="false"/>
          <w:i w:val="false"/>
          <w:iCs w:val="false"/>
          <w:color w:val="000000"/>
          <w:sz w:val="20"/>
          <w:szCs w:val="20"/>
          <w:u w:val="none"/>
        </w:rPr>
      </w:pPr>
      <w:r>
        <w:rPr>
          <w:rFonts w:eastAsia="Tahoma" w:cs="Tahoma" w:ascii="Tahoma" w:hAnsi="Tahoma"/>
          <w:b/>
          <w:bCs/>
          <w:i w:val="false"/>
          <w:iCs w:val="false"/>
          <w:color w:val="000000"/>
          <w:sz w:val="20"/>
          <w:szCs w:val="20"/>
          <w:u w:val="none"/>
        </w:rPr>
      </w:r>
    </w:p>
    <w:p>
      <w:pPr>
        <w:pStyle w:val="Heading1"/>
        <w:keepNext w:val="false"/>
        <w:keepLines w:val="false"/>
        <w:numPr>
          <w:ilvl w:val="0"/>
          <w:numId w:val="1"/>
        </w:numPr>
        <w:pBdr>
          <w:bottom w:val="single" w:sz="12" w:space="1" w:color="365F91"/>
        </w:pBdr>
        <w:spacing w:before="120" w:after="120"/>
        <w:ind w:hanging="0" w:left="142" w:right="0"/>
        <w:jc w:val="both"/>
        <w:rPr/>
      </w:pPr>
      <w:r>
        <w:rPr>
          <w:rFonts w:cs="Tahoma"/>
          <w:sz w:val="20"/>
          <w:szCs w:val="20"/>
          <w:shd w:fill="auto" w:val="clear"/>
          <w:lang w:val="es-BO"/>
        </w:rPr>
        <w:t>ANTECEDENTES.</w:t>
      </w:r>
    </w:p>
    <w:p>
      <w:pPr>
        <w:pStyle w:val="Normal"/>
        <w:ind w:hanging="0" w:left="397" w:right="0"/>
        <w:jc w:val="both"/>
        <w:rPr>
          <w:sz w:val="20"/>
          <w:szCs w:val="20"/>
          <w:shd w:fill="auto" w:val="clear"/>
        </w:rPr>
      </w:pPr>
      <w:r>
        <w:rPr>
          <w:rFonts w:cs="Tahoma" w:ascii="Tahoma" w:hAnsi="Tahoma"/>
          <w:sz w:val="20"/>
          <w:szCs w:val="20"/>
          <w:shd w:fill="auto" w:val="clear"/>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cs="Tahoma" w:ascii="Tahoma" w:hAnsi="Tahoma"/>
          <w:sz w:val="20"/>
          <w:szCs w:val="20"/>
          <w:u w:val="single"/>
          <w:shd w:fill="auto" w:val="clear"/>
        </w:rPr>
        <w:t>la conclusión de los trámites, archivo de obrados y la gestión de archivo.</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ind w:hanging="0" w:left="397" w:right="0"/>
        <w:jc w:val="both"/>
        <w:rPr>
          <w:rFonts w:ascii="Tahoma" w:hAnsi="Tahoma" w:cs="Tahoma"/>
          <w:sz w:val="20"/>
          <w:szCs w:val="20"/>
          <w:shd w:fill="auto" w:val="clear"/>
        </w:rPr>
      </w:pPr>
      <w:r>
        <w:rPr>
          <w:rFonts w:cs="Tahoma" w:ascii="Tahoma" w:hAnsi="Tahoma"/>
          <w:sz w:val="20"/>
          <w:szCs w:val="20"/>
          <w:shd w:fill="auto" w:val="clear"/>
        </w:rPr>
        <w:t>El régimen legal aplicable por el SIN, es el ordenamiento jurídico nacional en materia tributaria, constituido por la Ley Nº 843, Código Tributario Boliviano, Ley N.º 2492 y normativa reglamentaria.</w:t>
      </w:r>
    </w:p>
    <w:p>
      <w:pPr>
        <w:pStyle w:val="Normal"/>
        <w:jc w:val="both"/>
        <w:rPr>
          <w:rFonts w:ascii="Tahoma" w:hAnsi="Tahoma" w:cs="Tahoma"/>
          <w:sz w:val="20"/>
          <w:szCs w:val="20"/>
          <w:shd w:fill="auto" w:val="clear"/>
        </w:rPr>
      </w:pPr>
      <w:r>
        <w:rPr>
          <w:rFonts w:cs="Tahoma" w:ascii="Tahoma" w:hAnsi="Tahoma"/>
          <w:sz w:val="20"/>
          <w:szCs w:val="20"/>
          <w:shd w:fill="auto" w:val="clear"/>
        </w:rPr>
      </w:r>
    </w:p>
    <w:p>
      <w:pPr>
        <w:pStyle w:val="Normal"/>
        <w:ind w:hanging="0" w:left="397" w:right="0"/>
        <w:jc w:val="both"/>
        <w:rPr>
          <w:sz w:val="20"/>
          <w:szCs w:val="20"/>
          <w:shd w:fill="auto" w:val="clear"/>
        </w:rPr>
      </w:pPr>
      <w:r>
        <w:rPr>
          <w:rFonts w:cs="Tahoma" w:ascii="Tahoma" w:hAnsi="Tahoma"/>
          <w:sz w:val="20"/>
          <w:szCs w:val="20"/>
          <w:shd w:fill="auto" w:val="clear"/>
        </w:rPr>
        <w:t xml:space="preserve">La Gerencia Jurídica y de Normas Tributarias realizó la evaluación sobre la implantación de proyectos en las Gerencias Distritales y Graco en mérito a las tareas de control y seguimiento efectuado al Área de Cobranza Coactiva, se ha visto la necesidad de llevar a cabo el Proyecto “Conclusión de procesos de cobro y su registro en el Sistema de Cobranza Coactiva - Gestión 2026”, para apoyar la conclusión de procesos de cobro mediante el procesamiento de los mismos, sea en la elaboración de liquidación de adeudos, Informes de No Existencia de Adeudos Tributarios, Autos de Conclusión de Trámite, Resolución Final de Sumario, Resolución Sancionatoria pagada, </w:t>
      </w:r>
      <w:r>
        <w:rPr>
          <w:rFonts w:cs="Tahoma" w:ascii="Tahoma" w:hAnsi="Tahoma"/>
          <w:sz w:val="20"/>
          <w:szCs w:val="20"/>
          <w:shd w:fill="auto" w:val="clear"/>
          <w:lang w:val="es-MX"/>
        </w:rPr>
        <w:t>Resoluciones Administrativas de Nulidad o Exoneración,</w:t>
      </w:r>
      <w:r>
        <w:rPr>
          <w:rFonts w:cs="Tahoma" w:ascii="Tahoma" w:hAnsi="Tahoma"/>
          <w:sz w:val="20"/>
          <w:szCs w:val="20"/>
          <w:shd w:fill="auto" w:val="clear"/>
        </w:rPr>
        <w:t xml:space="preserve"> levantamiento de medidas coactivas, generación de </w:t>
      </w:r>
      <w:bookmarkStart w:id="103" w:name="DWT1961"/>
      <w:bookmarkStart w:id="104" w:name="DWT2091"/>
      <w:bookmarkEnd w:id="103"/>
      <w:bookmarkEnd w:id="104"/>
      <w:r>
        <w:rPr>
          <w:rFonts w:cs="Tahoma" w:ascii="Tahoma" w:hAnsi="Tahoma"/>
          <w:sz w:val="20"/>
          <w:szCs w:val="20"/>
          <w:shd w:fill="auto" w:val="clear"/>
        </w:rPr>
        <w:t xml:space="preserve">reportes </w:t>
      </w:r>
      <w:bookmarkStart w:id="105" w:name="DWT1963"/>
      <w:bookmarkStart w:id="106" w:name="DWT2093"/>
      <w:bookmarkEnd w:id="105"/>
      <w:bookmarkEnd w:id="106"/>
      <w:r>
        <w:rPr>
          <w:rFonts w:cs="Tahoma" w:ascii="Tahoma" w:hAnsi="Tahoma"/>
          <w:sz w:val="20"/>
          <w:szCs w:val="20"/>
          <w:shd w:fill="auto" w:val="clear"/>
        </w:rPr>
        <w:t>de</w:t>
      </w:r>
      <w:bookmarkStart w:id="107" w:name="DWT1965"/>
      <w:bookmarkStart w:id="108" w:name="DWT2095"/>
      <w:bookmarkEnd w:id="107"/>
      <w:bookmarkEnd w:id="108"/>
      <w:r>
        <w:rPr>
          <w:rFonts w:cs="Tahoma" w:ascii="Tahoma" w:hAnsi="Tahoma"/>
          <w:sz w:val="20"/>
          <w:szCs w:val="20"/>
          <w:shd w:fill="auto" w:val="clear"/>
        </w:rPr>
        <w:t xml:space="preserve"> Declaraciones Juradas pagadas antes del inicio Inicio de la Ejecución Tributaria, así como el registro y actualización del proceso de cobro en el Sistema de Cobranza Coactiva; toda vez que, la planilla de servidores públicos de planta es reducida e insuficiente para atender de manera oportuna y eficaz la gestión de las Áreas de Cobranza Coactiva; por lo que, se ha visto por conveniente la implementación de un proyecto, contratando los servicios de Consultores de Línea, para que realicen dichas labores, toda vez que dicha situación ha excedido la capacidad operativa de los servidores públicos de las Áreas de Cobranza Coactiva.</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lang w:val="es-BO"/>
        </w:rPr>
      </w:pPr>
      <w:r>
        <w:rPr>
          <w:rFonts w:cs="Tahoma"/>
          <w:sz w:val="20"/>
          <w:szCs w:val="20"/>
          <w:lang w:val="es-BO"/>
        </w:rPr>
        <w:t>JUSTIFICACIÓN DE LA CONTRATACIÓN</w:t>
      </w:r>
    </w:p>
    <w:p>
      <w:pPr>
        <w:pStyle w:val="Normal"/>
        <w:ind w:hanging="0" w:left="284" w:right="0"/>
        <w:jc w:val="both"/>
        <w:rPr>
          <w:rFonts w:ascii="Tahoma" w:hAnsi="Tahoma" w:cs="Tahoma"/>
          <w:sz w:val="20"/>
          <w:szCs w:val="20"/>
          <w:shd w:fill="auto" w:val="clear"/>
          <w:lang w:val="es-BO"/>
        </w:rPr>
      </w:pPr>
      <w:r>
        <w:rPr>
          <w:rFonts w:cs="Tahoma" w:ascii="Tahoma" w:hAnsi="Tahoma"/>
          <w:sz w:val="20"/>
          <w:szCs w:val="20"/>
          <w:shd w:fill="auto" w:val="clear"/>
          <w:lang w:val="es-BO"/>
        </w:rPr>
        <w:t xml:space="preserve">La necesidad de ejecución de la presente Iniciativa pretende reducir parcialmente los procesos acumulados pendientes de conclusión de trámite, logrando la depuración de la cartera en mora, aminorar la carga laboral por trámites pendientes de conclusión, liberar espacio físico en las Unidades de Cobranza Coactiva, a través de la remisión de los mismos al Archivo, así como evitar quejas y molestias de los contribuyentes ocasionados por la demora en el levantamiento de medidas coactivas dispuestas en su contra.  </w:t>
      </w:r>
    </w:p>
    <w:p>
      <w:pPr>
        <w:pStyle w:val="Normal"/>
        <w:ind w:hanging="0" w:left="284" w:right="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Normal"/>
        <w:ind w:hanging="0" w:left="284" w:right="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Normal"/>
        <w:ind w:hanging="0" w:left="284" w:right="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Normal"/>
        <w:ind w:hanging="0" w:left="284" w:right="0"/>
        <w:jc w:val="both"/>
        <w:rPr>
          <w:rFonts w:ascii="Tahoma" w:hAnsi="Tahoma" w:cs="Tahoma"/>
          <w:sz w:val="20"/>
          <w:szCs w:val="20"/>
          <w:shd w:fill="auto" w:val="clear"/>
          <w:lang w:val="es-BO"/>
        </w:rPr>
      </w:pPr>
      <w:r>
        <w:rPr>
          <w:rFonts w:cs="Tahoma" w:ascii="Tahoma" w:hAnsi="Tahoma"/>
          <w:sz w:val="20"/>
          <w:szCs w:val="20"/>
          <w:shd w:fill="auto" w:val="clear"/>
          <w:lang w:val="es-BO"/>
        </w:rPr>
      </w:r>
    </w:p>
    <w:p>
      <w:pPr>
        <w:pStyle w:val="Heading1"/>
        <w:keepNext w:val="false"/>
        <w:keepLines w:val="false"/>
        <w:numPr>
          <w:ilvl w:val="0"/>
          <w:numId w:val="1"/>
        </w:numPr>
        <w:pBdr>
          <w:bottom w:val="single" w:sz="12" w:space="1" w:color="365F91"/>
        </w:pBdr>
        <w:spacing w:before="120" w:after="120"/>
        <w:ind w:hanging="0" w:left="283" w:right="0"/>
        <w:jc w:val="both"/>
        <w:rPr>
          <w:rFonts w:ascii="Tahoma" w:hAnsi="Tahoma" w:cs="Tahoma"/>
          <w:sz w:val="20"/>
          <w:szCs w:val="20"/>
          <w:shd w:fill="auto" w:val="clear"/>
          <w:lang w:val="es-BO"/>
        </w:rPr>
      </w:pPr>
      <w:r>
        <w:rPr>
          <w:rFonts w:cs="Tahoma"/>
          <w:sz w:val="20"/>
          <w:szCs w:val="20"/>
          <w:shd w:fill="auto" w:val="clear"/>
          <w:lang w:val="es-BO"/>
        </w:rPr>
        <w:t>OBJETIVO DE LA CONSULTORÍA</w:t>
      </w:r>
    </w:p>
    <w:p>
      <w:pPr>
        <w:pStyle w:val="ListParagraph"/>
        <w:widowControl/>
        <w:numPr>
          <w:ilvl w:val="0"/>
          <w:numId w:val="0"/>
        </w:numPr>
        <w:tabs>
          <w:tab w:val="clear" w:pos="709"/>
          <w:tab w:val="left" w:pos="900" w:leader="none"/>
          <w:tab w:val="left" w:pos="1245" w:leader="none"/>
        </w:tabs>
        <w:suppressAutoHyphens w:val="true"/>
        <w:bidi w:val="0"/>
        <w:spacing w:before="0" w:after="0"/>
        <w:ind w:hanging="0" w:left="454" w:right="0"/>
        <w:jc w:val="both"/>
        <w:rPr>
          <w:rFonts w:ascii="Tahoma" w:hAnsi="Tahoma" w:cs="Tahoma"/>
          <w:b/>
          <w:lang w:val="es-MX"/>
        </w:rPr>
      </w:pPr>
      <w:r>
        <w:rPr>
          <w:rFonts w:cs="Tahoma" w:ascii="Tahoma" w:hAnsi="Tahoma"/>
          <w:b/>
          <w:lang w:val="es-MX"/>
        </w:rPr>
      </w:r>
    </w:p>
    <w:p>
      <w:pPr>
        <w:pStyle w:val="ListParagraph"/>
        <w:widowControl/>
        <w:numPr>
          <w:ilvl w:val="0"/>
          <w:numId w:val="2"/>
        </w:numPr>
        <w:tabs>
          <w:tab w:val="clear" w:pos="709"/>
          <w:tab w:val="left" w:pos="900" w:leader="none"/>
          <w:tab w:val="left" w:pos="1245" w:leader="none"/>
        </w:tabs>
        <w:suppressAutoHyphens w:val="true"/>
        <w:bidi w:val="0"/>
        <w:spacing w:before="0" w:after="0"/>
        <w:ind w:hanging="0" w:left="454" w:right="0"/>
        <w:jc w:val="both"/>
        <w:rPr/>
      </w:pPr>
      <w:r>
        <w:rPr>
          <w:rFonts w:cs="Tahoma" w:ascii="Tahoma" w:hAnsi="Tahoma"/>
          <w:b/>
          <w:lang w:val="es-MX"/>
        </w:rPr>
        <w:t xml:space="preserve">    </w:t>
      </w:r>
      <w:r>
        <w:rPr>
          <w:rFonts w:cs="Tahoma" w:ascii="Tahoma" w:hAnsi="Tahoma"/>
          <w:b/>
          <w:sz w:val="20"/>
          <w:szCs w:val="20"/>
          <w:lang w:val="es-MX"/>
        </w:rPr>
        <w:t xml:space="preserve"> </w:t>
      </w:r>
      <w:r>
        <w:rPr>
          <w:rFonts w:cs="Tahoma" w:ascii="Tahoma" w:hAnsi="Tahoma"/>
          <w:b/>
          <w:sz w:val="20"/>
          <w:szCs w:val="20"/>
          <w:lang w:val="es-MX"/>
        </w:rPr>
        <w:t>Objetivo General</w:t>
      </w:r>
      <w:r>
        <w:rPr>
          <w:sz w:val="20"/>
          <w:szCs w:val="20"/>
        </w:rPr>
        <w:t xml:space="preserve"> </w:t>
      </w:r>
    </w:p>
    <w:p>
      <w:pPr>
        <w:pStyle w:val="ListParagraph"/>
        <w:widowControl/>
        <w:numPr>
          <w:ilvl w:val="0"/>
          <w:numId w:val="0"/>
        </w:numPr>
        <w:tabs>
          <w:tab w:val="clear" w:pos="709"/>
          <w:tab w:val="left" w:pos="900" w:leader="none"/>
          <w:tab w:val="left" w:pos="1245" w:leader="none"/>
        </w:tabs>
        <w:suppressAutoHyphens w:val="true"/>
        <w:bidi w:val="0"/>
        <w:spacing w:before="0" w:after="0"/>
        <w:ind w:hanging="0" w:left="454" w:right="0"/>
        <w:jc w:val="both"/>
        <w:rPr>
          <w:sz w:val="20"/>
          <w:szCs w:val="20"/>
        </w:rPr>
      </w:pPr>
      <w:r>
        <w:rPr>
          <w:sz w:val="20"/>
          <w:szCs w:val="20"/>
        </w:rPr>
      </w:r>
    </w:p>
    <w:p>
      <w:pPr>
        <w:pStyle w:val="Normal"/>
        <w:widowControl/>
        <w:numPr>
          <w:ilvl w:val="0"/>
          <w:numId w:val="39"/>
        </w:numPr>
        <w:suppressAutoHyphens w:val="true"/>
        <w:bidi w:val="0"/>
        <w:spacing w:before="0" w:after="0"/>
        <w:jc w:val="both"/>
        <w:rPr/>
      </w:pPr>
      <w:r>
        <w:rPr>
          <w:rFonts w:cs="Tahoma" w:ascii="Tahoma" w:hAnsi="Tahoma"/>
          <w:sz w:val="20"/>
          <w:szCs w:val="20"/>
          <w:shd w:fill="auto" w:val="clear"/>
          <w:lang w:val="es-BO"/>
        </w:rPr>
        <w:t>Depuración</w:t>
      </w:r>
      <w:r>
        <w:rPr>
          <w:rFonts w:cs="Tahoma" w:ascii="Tahoma" w:hAnsi="Tahoma"/>
          <w:sz w:val="20"/>
          <w:szCs w:val="20"/>
          <w:shd w:fill="auto" w:val="clear"/>
          <w:lang w:val="es-MX"/>
        </w:rPr>
        <w:t xml:space="preserve"> de la cartera en mora y reducción de cantidad de procesos pagados pendientes de conclusión a través de la elaboración de Informes de No Existencia de adeudos tributarios (denominados Informes “0” e Informes de Conclusión) y la emisión de Actos Conclusivos, los cuales deberán comprender de manera obligatoria y conjunta el Ato de Conclusión de Tramite y el levantamiento de medidas coactivas que hubieran sido dispuestas dentro del proceso, así como Resoluciones Finales de Sumario, Resoluciones Sancionatorias Pagadas, Resoluciones Administrativas de Nulidad o Exoneración y generación de  </w:t>
      </w:r>
      <w:r>
        <w:rPr>
          <w:rFonts w:cs="Tahoma" w:ascii="Tahoma" w:hAnsi="Tahoma"/>
          <w:bCs/>
          <w:sz w:val="20"/>
          <w:szCs w:val="20"/>
          <w:shd w:fill="auto" w:val="clear"/>
          <w:lang w:val="es-MX" w:eastAsia="en-US"/>
        </w:rPr>
        <w:t>Reporte</w:t>
      </w:r>
      <w:bookmarkStart w:id="109" w:name="DWT2091_Copia_1_Copia_2_Copia_1"/>
      <w:bookmarkStart w:id="110" w:name="DWT1961_Copia_1_Copia_2_Copia_1"/>
      <w:bookmarkEnd w:id="109"/>
      <w:bookmarkEnd w:id="110"/>
      <w:r>
        <w:rPr>
          <w:rFonts w:cs="Tahoma" w:ascii="Tahoma" w:hAnsi="Tahoma"/>
          <w:bCs/>
          <w:sz w:val="20"/>
          <w:szCs w:val="20"/>
          <w:shd w:fill="auto" w:val="clear"/>
          <w:lang w:val="es-MX" w:eastAsia="en-US"/>
        </w:rPr>
        <w:t xml:space="preserve">s </w:t>
      </w:r>
      <w:bookmarkStart w:id="111" w:name="DWT2093_Copia_1_Copia_2_Copia_1"/>
      <w:bookmarkStart w:id="112" w:name="DWT1963_Copia_1_Copia_2_Copia_1"/>
      <w:bookmarkEnd w:id="111"/>
      <w:bookmarkEnd w:id="112"/>
      <w:r>
        <w:rPr>
          <w:rFonts w:cs="Tahoma" w:ascii="Tahoma" w:hAnsi="Tahoma"/>
          <w:bCs/>
          <w:sz w:val="20"/>
          <w:szCs w:val="20"/>
          <w:shd w:fill="auto" w:val="clear"/>
          <w:lang w:val="es-MX" w:eastAsia="en-US"/>
        </w:rPr>
        <w:t>de</w:t>
      </w:r>
      <w:bookmarkStart w:id="113" w:name="DWT2095_Copia_1_Copia_2_Copia_1"/>
      <w:bookmarkStart w:id="114" w:name="DWT1965_Copia_1_Copia_2_Copia_1"/>
      <w:bookmarkEnd w:id="113"/>
      <w:bookmarkEnd w:id="114"/>
      <w:r>
        <w:rPr>
          <w:rFonts w:cs="Tahoma" w:ascii="Tahoma" w:hAnsi="Tahoma"/>
          <w:bCs/>
          <w:sz w:val="20"/>
          <w:szCs w:val="20"/>
          <w:shd w:fill="auto" w:val="clear"/>
          <w:lang w:val="es-MX" w:eastAsia="en-US"/>
        </w:rPr>
        <w:t xml:space="preserve"> Declaraciones Juradas pagadas antes del inicio  Inicio de la Ejecución Tributaria; incluyendo </w:t>
      </w:r>
      <w:r>
        <w:rPr>
          <w:rFonts w:cs="Tahoma" w:ascii="Tahoma" w:hAnsi="Tahoma"/>
          <w:sz w:val="20"/>
          <w:szCs w:val="20"/>
          <w:shd w:fill="auto" w:val="clear"/>
          <w:lang w:val="es-MX"/>
        </w:rPr>
        <w:t xml:space="preserve">gestión de archivo, registro y actualización de procesos de cobro en el Sistema de Cobranza Coactiva. </w:t>
      </w:r>
    </w:p>
    <w:p>
      <w:pPr>
        <w:pStyle w:val="Normal"/>
        <w:widowControl/>
        <w:numPr>
          <w:ilvl w:val="0"/>
          <w:numId w:val="0"/>
        </w:numPr>
        <w:suppressAutoHyphens w:val="true"/>
        <w:bidi w:val="0"/>
        <w:spacing w:before="0" w:after="0"/>
        <w:ind w:hanging="0" w:left="567"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ListParagraph"/>
        <w:numPr>
          <w:ilvl w:val="0"/>
          <w:numId w:val="4"/>
        </w:numPr>
        <w:ind w:hanging="0" w:left="426" w:right="0"/>
        <w:jc w:val="both"/>
        <w:rPr/>
      </w:pPr>
      <w:r>
        <w:rPr>
          <w:rFonts w:cs="Tahoma" w:ascii="Tahoma" w:hAnsi="Tahoma"/>
          <w:b/>
          <w:sz w:val="20"/>
          <w:szCs w:val="20"/>
          <w:shd w:fill="auto" w:val="clear"/>
          <w:lang w:val="es-MX"/>
        </w:rPr>
        <w:t>Objetivos Específicos</w:t>
      </w:r>
    </w:p>
    <w:p>
      <w:pPr>
        <w:pStyle w:val="ListParagraph"/>
        <w:numPr>
          <w:ilvl w:val="0"/>
          <w:numId w:val="0"/>
        </w:numPr>
        <w:ind w:hanging="0" w:left="426" w:right="0"/>
        <w:jc w:val="both"/>
        <w:rPr>
          <w:rFonts w:ascii="Tahoma" w:hAnsi="Tahoma" w:cs="Tahoma"/>
          <w:b/>
          <w:sz w:val="20"/>
          <w:szCs w:val="20"/>
          <w:shd w:fill="auto" w:val="clear"/>
          <w:lang w:val="es-MX"/>
        </w:rPr>
      </w:pPr>
      <w:r>
        <w:rPr>
          <w:rFonts w:cs="Tahoma" w:ascii="Tahoma" w:hAnsi="Tahoma"/>
          <w:b/>
          <w:sz w:val="20"/>
          <w:szCs w:val="20"/>
          <w:shd w:fill="auto" w:val="clear"/>
          <w:lang w:val="es-MX"/>
        </w:rPr>
      </w:r>
    </w:p>
    <w:p>
      <w:pPr>
        <w:pStyle w:val="ListParagraph"/>
        <w:numPr>
          <w:ilvl w:val="0"/>
          <w:numId w:val="5"/>
        </w:numPr>
        <w:jc w:val="both"/>
        <w:rPr/>
      </w:pPr>
      <w:r>
        <w:rPr>
          <w:rFonts w:cs="Tahoma" w:ascii="Tahoma" w:hAnsi="Tahoma"/>
          <w:shd w:fill="auto" w:val="clear"/>
        </w:rPr>
        <w:t xml:space="preserve">Depurar la cartera en mora a través de la verificación del pago correcto de los adeudos tributarios que registran el estado actual de “Pagado”, “Para Conclusión” y/o “Para Anular”, emisión de Actos Conclusivos, incluyendo de forma obligatoria levantamiento de medidas coactivas aplicadas, a efecto de registrar el estado correcto del tramite </w:t>
      </w:r>
    </w:p>
    <w:p>
      <w:pPr>
        <w:pStyle w:val="Normal"/>
        <w:numPr>
          <w:ilvl w:val="0"/>
          <w:numId w:val="5"/>
        </w:numPr>
        <w:jc w:val="both"/>
        <w:rPr>
          <w:shd w:fill="auto" w:val="clear"/>
        </w:rPr>
      </w:pPr>
      <w:r>
        <w:rPr>
          <w:rFonts w:cs="Tahoma" w:ascii="Tahoma" w:hAnsi="Tahoma"/>
          <w:sz w:val="20"/>
          <w:szCs w:val="20"/>
          <w:shd w:fill="auto" w:val="clear"/>
        </w:rPr>
        <w:t>Procesar el levantamiento de medidas coactivas dispuestas en ejecución tributaria de aquellos procesos correctamente pagados, debiendo dicho levantamiento tramitarse de manera simultanea e inseparable de la emisión del Auto de Conclusión de Tramite.</w:t>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Garantizar que ningún proceso de cobro sea concluido administrativamente sin que se disponga expresamente, cuando corresponda, el levantamiento de las medidas coactivas ejecutadas, formando parte integral del acto conclusivo.</w:t>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Liberar espacio físico en Cobranza Coactiva a través de la remisión de procesos concluidos al archivo institucional de la Gerencia Distrital o Graco.</w:t>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Evitar perjuicios y denuncias de los contribuyentes por la demora en el levantamiento de medidas coactivas, dispuestas en su contra dentro de la ejecución tributaria.</w:t>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Registrar el estado correcto y actual del proceso de cobro en el Sistema de Cobranza Coactiva.</w:t>
      </w:r>
    </w:p>
    <w:p>
      <w:pPr>
        <w:pStyle w:val="Normal"/>
        <w:numPr>
          <w:ilvl w:val="0"/>
          <w:numId w:val="5"/>
        </w:numPr>
        <w:jc w:val="both"/>
        <w:rPr>
          <w:rFonts w:ascii="Tahoma" w:hAnsi="Tahoma" w:cs="Tahoma"/>
          <w:sz w:val="20"/>
          <w:szCs w:val="20"/>
          <w:shd w:fill="auto" w:val="clear"/>
        </w:rPr>
      </w:pPr>
      <w:r>
        <w:rPr>
          <w:rFonts w:cs="Tahoma" w:ascii="Tahoma" w:hAnsi="Tahoma"/>
          <w:sz w:val="20"/>
          <w:szCs w:val="20"/>
          <w:shd w:fill="auto" w:val="clear"/>
        </w:rPr>
        <w:t>Otras tareas inherentes al proyecto.</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ALCANCE DEL SERVICIO</w:t>
      </w:r>
    </w:p>
    <w:p>
      <w:pPr>
        <w:pStyle w:val="Normal"/>
        <w:ind w:hanging="0" w:left="567" w:right="0"/>
        <w:jc w:val="both"/>
        <w:rPr>
          <w:sz w:val="20"/>
          <w:szCs w:val="20"/>
          <w:shd w:fill="auto" w:val="clear"/>
        </w:rPr>
      </w:pPr>
      <w:r>
        <w:rPr>
          <w:rFonts w:cs="Tahoma" w:ascii="Tahoma" w:hAnsi="Tahoma"/>
          <w:sz w:val="20"/>
          <w:szCs w:val="20"/>
          <w:shd w:fill="auto" w:val="clear"/>
          <w:lang w:eastAsia="es-BO"/>
        </w:rPr>
        <w:t>El consultor realizará tareas de apoyo para la conclusión de procesos de cobro y su registro en el Sistema de Cobranza Coactiva con jurisdicción en la Gerencia Distrital Montero, velando por el cumplimiento de las actividades y resultados esperados detallados en los Términos de Referencia, a través del cumplimiento de la normativa inherente a los procesos que desarrollará.</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lang w:val="es-BO"/>
        </w:rPr>
      </w:pPr>
      <w:r>
        <w:rPr>
          <w:rFonts w:cs="Tahoma"/>
          <w:sz w:val="20"/>
          <w:szCs w:val="20"/>
          <w:lang w:val="es-BO"/>
        </w:rPr>
        <w:t xml:space="preserve">ACTIVIDADES </w:t>
      </w:r>
    </w:p>
    <w:p>
      <w:pPr>
        <w:pStyle w:val="Normal"/>
        <w:widowControl/>
        <w:suppressAutoHyphens w:val="true"/>
        <w:bidi w:val="0"/>
        <w:spacing w:before="0" w:after="0"/>
        <w:ind w:hanging="0" w:left="397" w:right="0"/>
        <w:jc w:val="both"/>
        <w:rPr/>
      </w:pPr>
      <w:r>
        <w:rPr>
          <w:rFonts w:cs="Tahoma" w:ascii="Tahoma" w:hAnsi="Tahoma"/>
          <w:color w:val="000000"/>
          <w:sz w:val="20"/>
          <w:szCs w:val="20"/>
        </w:rPr>
        <w:t xml:space="preserve"> </w:t>
      </w:r>
      <w:r>
        <w:rPr>
          <w:rFonts w:cs="Tahoma" w:ascii="Tahoma" w:hAnsi="Tahoma"/>
          <w:color w:val="000000"/>
          <w:sz w:val="20"/>
          <w:szCs w:val="20"/>
          <w:shd w:fill="auto" w:val="clear"/>
        </w:rPr>
        <w:t>Las actividades a ser desarrolladas por el Consultor son las siguientes:</w:t>
      </w:r>
    </w:p>
    <w:p>
      <w:pPr>
        <w:pStyle w:val="Normal"/>
        <w:widowControl/>
        <w:suppressAutoHyphens w:val="true"/>
        <w:bidi w:val="0"/>
        <w:spacing w:before="0" w:after="0"/>
        <w:ind w:hanging="0" w:left="397" w:right="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Normal"/>
        <w:widowControl/>
        <w:suppressAutoHyphens w:val="true"/>
        <w:bidi w:val="0"/>
        <w:spacing w:before="0" w:after="0"/>
        <w:ind w:hanging="0" w:left="397" w:right="0"/>
        <w:jc w:val="both"/>
        <w:rPr/>
      </w:pPr>
      <w:r>
        <w:rPr>
          <w:rFonts w:cs="Tahoma" w:ascii="Tahoma" w:hAnsi="Tahoma"/>
          <w:color w:val="000000"/>
          <w:sz w:val="20"/>
          <w:szCs w:val="20"/>
          <w:shd w:fill="auto" w:val="clear"/>
        </w:rPr>
        <w:t xml:space="preserve">a) </w:t>
      </w:r>
      <w:r>
        <w:rPr>
          <w:rFonts w:cs="Tahoma" w:ascii="Tahoma" w:hAnsi="Tahoma"/>
          <w:shd w:fill="auto" w:val="clear"/>
        </w:rPr>
        <w:t xml:space="preserve">Verificar los pagos efectuados por el contribuyente mediante el Sistema Informático SIRAT II, obteniendo el reporte impreso de la boleta o boletas de pago, el mismo que deberá ser sellado y rubricado, tanto por el Consultor contratado responsable de la consulta e impresión como por el Supervisor de Cobranza Coactiva, debiendo verificar la posible existencia de Formularios N° 489 y 490 (Solicitud y Aprobación de Corrección de Errores Materiales) en cuyo caso deberá analizarse la Corrección de Error Material efectuada. </w:t>
      </w:r>
    </w:p>
    <w:p>
      <w:pPr>
        <w:pStyle w:val="Normal"/>
        <w:widowControl/>
        <w:suppressAutoHyphens w:val="true"/>
        <w:bidi w:val="0"/>
        <w:spacing w:before="0" w:after="0"/>
        <w:ind w:hanging="0" w:left="397"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widowControl/>
        <w:suppressAutoHyphens w:val="true"/>
        <w:bidi w:val="0"/>
        <w:spacing w:before="0" w:after="0"/>
        <w:ind w:hanging="0" w:left="397" w:right="0"/>
        <w:jc w:val="both"/>
        <w:rPr/>
      </w:pPr>
      <w:r>
        <w:rPr>
          <w:rFonts w:cs="Tahoma" w:ascii="Tahoma" w:hAnsi="Tahoma"/>
          <w:sz w:val="20"/>
          <w:szCs w:val="20"/>
          <w:shd w:fill="auto" w:val="clear"/>
          <w:lang w:val="es-MX"/>
        </w:rPr>
        <w:t xml:space="preserve">b) Realizar liquidaciones y cálculo de la deuda tributaria y como </w:t>
      </w:r>
      <w:r>
        <w:rPr>
          <w:rFonts w:cs="Tahoma" w:ascii="Tahoma" w:hAnsi="Tahoma"/>
          <w:sz w:val="20"/>
          <w:szCs w:val="20"/>
          <w:shd w:fill="auto" w:val="clear"/>
        </w:rPr>
        <w:t>resultado de las liquidaciones y verificación de pagos en Sistema, elaborar el Auto de Conclusión de Trámite, verificando obligatoriamente la existencia de medidas coactivas ejecutadas en contra del contribuyente, a efectos que el mismo acto administrativo disponga expresamente su levantamiento, gestionando asimismo la elaboración de las notas correspondientes.</w:t>
      </w:r>
    </w:p>
    <w:p>
      <w:pPr>
        <w:pStyle w:val="Normal"/>
        <w:numPr>
          <w:ilvl w:val="0"/>
          <w:numId w:val="0"/>
        </w:numPr>
        <w:ind w:hanging="0" w:left="2716" w:right="0"/>
        <w:rPr>
          <w:rFonts w:ascii="Tahoma" w:hAnsi="Tahoma" w:cs="Tahoma"/>
          <w:sz w:val="20"/>
          <w:szCs w:val="20"/>
          <w:shd w:fill="auto" w:val="clear"/>
          <w:lang w:val="es-BO"/>
        </w:rPr>
      </w:pPr>
      <w:r>
        <w:rPr>
          <w:rFonts w:cs="Tahoma" w:ascii="Tahoma" w:hAnsi="Tahoma"/>
          <w:sz w:val="20"/>
          <w:szCs w:val="20"/>
          <w:shd w:fill="auto" w:val="clear"/>
          <w:lang w:val="es-BO"/>
        </w:rPr>
      </w:r>
    </w:p>
    <w:p>
      <w:pPr>
        <w:pStyle w:val="Normal"/>
        <w:numPr>
          <w:ilvl w:val="0"/>
          <w:numId w:val="0"/>
        </w:numPr>
        <w:ind w:hanging="0" w:left="964" w:right="0"/>
        <w:jc w:val="both"/>
        <w:rPr>
          <w:shd w:fill="auto" w:val="clear"/>
        </w:rPr>
      </w:pPr>
      <w:r>
        <w:rPr>
          <w:rFonts w:cs="Tahoma" w:ascii="Tahoma" w:hAnsi="Tahoma"/>
          <w:sz w:val="20"/>
          <w:szCs w:val="20"/>
          <w:shd w:fill="auto" w:val="clear"/>
          <w:lang w:val="es-MX"/>
        </w:rPr>
        <w:t xml:space="preserve">c) Elaborar </w:t>
      </w:r>
      <w:r>
        <w:rPr>
          <w:rFonts w:cs="Tahoma" w:ascii="Tahoma" w:hAnsi="Tahoma"/>
          <w:sz w:val="20"/>
          <w:szCs w:val="20"/>
          <w:shd w:fill="auto" w:val="clear"/>
        </w:rPr>
        <w:t>Informes de No existencia de adeudos tributarios</w:t>
      </w:r>
      <w:r>
        <w:rPr>
          <w:rFonts w:cs="Tahoma" w:ascii="Tahoma" w:hAnsi="Tahoma"/>
          <w:sz w:val="20"/>
          <w:szCs w:val="20"/>
          <w:shd w:fill="auto" w:val="clear"/>
          <w:lang w:val="es-MX"/>
        </w:rPr>
        <w:t xml:space="preserve"> (Informes cero “0” e Informes de Conclusión) para todos los procesos de cobro correctamente pagados; misma que</w:t>
      </w:r>
      <w:r>
        <w:rPr>
          <w:rFonts w:cs="Tahoma" w:ascii="Tahoma" w:hAnsi="Tahoma"/>
          <w:sz w:val="20"/>
          <w:szCs w:val="20"/>
          <w:shd w:fill="auto" w:val="clear"/>
        </w:rPr>
        <w:t xml:space="preserve"> deberá contener una sucinta relación del origen de la deuda y la actualización a la fecha de pago, los pagos realizados por el contribuyente, la verificación y la determinación del saldo cero, asimismo</w:t>
      </w:r>
      <w:r>
        <w:rPr>
          <w:rFonts w:cs="Tahoma" w:ascii="Tahoma" w:hAnsi="Tahoma"/>
          <w:sz w:val="20"/>
          <w:szCs w:val="20"/>
          <w:shd w:fill="auto" w:val="clear"/>
          <w:lang w:val="es-MX"/>
        </w:rPr>
        <w:t xml:space="preserve"> deberá consignar el detalle correspondiente que determine el pago total de la obligación por parte del contribuyente, recomendando la emisión del Auto de Conclusión de Trámite o Resolución Final de Sumario y en los casos que correspondan Resoluciones Sancionatorias Pagadas. </w:t>
      </w:r>
    </w:p>
    <w:p>
      <w:pPr>
        <w:pStyle w:val="Normal"/>
        <w:numPr>
          <w:ilvl w:val="0"/>
          <w:numId w:val="0"/>
        </w:numPr>
        <w:ind w:hanging="0" w:left="2008" w:right="0"/>
        <w:jc w:val="both"/>
        <w:rPr>
          <w:rFonts w:ascii="Tahoma" w:hAnsi="Tahoma" w:cs="Tahoma"/>
          <w:sz w:val="20"/>
          <w:szCs w:val="20"/>
          <w:shd w:fill="auto" w:val="clear"/>
        </w:rPr>
      </w:pPr>
      <w:r>
        <w:rPr>
          <w:rFonts w:cs="Tahoma" w:ascii="Tahoma" w:hAnsi="Tahoma"/>
          <w:sz w:val="20"/>
          <w:szCs w:val="20"/>
          <w:shd w:fill="auto" w:val="clear"/>
        </w:rPr>
      </w:r>
    </w:p>
    <w:p>
      <w:pPr>
        <w:pStyle w:val="Normal"/>
        <w:numPr>
          <w:ilvl w:val="0"/>
          <w:numId w:val="0"/>
        </w:numPr>
        <w:ind w:hanging="0" w:left="907" w:right="0"/>
        <w:jc w:val="both"/>
        <w:rPr>
          <w:shd w:fill="auto" w:val="clear"/>
        </w:rPr>
      </w:pPr>
      <w:r>
        <w:rPr>
          <w:rFonts w:cs="Tahoma" w:ascii="Tahoma" w:hAnsi="Tahoma"/>
          <w:sz w:val="20"/>
          <w:szCs w:val="20"/>
          <w:shd w:fill="auto" w:val="clear"/>
          <w:lang w:val="es-MX"/>
        </w:rPr>
        <w:t>d) Elaborar Autos de Conclusión de trámite basados en los informes técnicos previamente elaborados disponiendo de manera expresa y obligatoria el levantamiento de medias coactivas que hubieran sido dispuestas, así como también el archivo de obrados.</w:t>
      </w:r>
    </w:p>
    <w:p>
      <w:pPr>
        <w:pStyle w:val="Normal"/>
        <w:numPr>
          <w:ilvl w:val="0"/>
          <w:numId w:val="0"/>
        </w:numPr>
        <w:ind w:hanging="0" w:left="2716" w:right="0"/>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e) Elaborar Resoluciones de Exoneración y/o de Anulación del proceso de cobro cuando así corresponda.</w:t>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0"/>
        </w:numPr>
        <w:ind w:hanging="0" w:left="907" w:right="0"/>
        <w:jc w:val="both"/>
        <w:rPr>
          <w:shd w:fill="auto" w:val="clear"/>
        </w:rPr>
      </w:pPr>
      <w:r>
        <w:rPr>
          <w:rFonts w:cs="Tahoma" w:ascii="Tahoma" w:hAnsi="Tahoma"/>
          <w:sz w:val="20"/>
          <w:szCs w:val="20"/>
          <w:shd w:fill="auto" w:val="clear"/>
          <w:lang w:val="es-MX"/>
        </w:rPr>
        <w:t>f) Generar Reportes</w:t>
      </w:r>
      <w:bookmarkStart w:id="115" w:name="DWT1961_Copia_1_Copia_1"/>
      <w:bookmarkStart w:id="116" w:name="DWT2091_Copia_1_Copia_1"/>
      <w:bookmarkEnd w:id="115"/>
      <w:bookmarkEnd w:id="116"/>
      <w:r>
        <w:rPr>
          <w:rFonts w:cs="Tahoma" w:ascii="Tahoma" w:hAnsi="Tahoma"/>
          <w:sz w:val="20"/>
          <w:szCs w:val="20"/>
          <w:shd w:fill="auto" w:val="clear"/>
          <w:lang w:val="es-MX"/>
        </w:rPr>
        <w:t xml:space="preserve"> </w:t>
      </w:r>
      <w:bookmarkStart w:id="117" w:name="DWT1963_Copia_1_Copia_1"/>
      <w:bookmarkStart w:id="118" w:name="DWT2093_Copia_1_Copia_1"/>
      <w:bookmarkEnd w:id="117"/>
      <w:bookmarkEnd w:id="118"/>
      <w:r>
        <w:rPr>
          <w:rFonts w:cs="Tahoma" w:ascii="Tahoma" w:hAnsi="Tahoma"/>
          <w:sz w:val="20"/>
          <w:szCs w:val="20"/>
          <w:shd w:fill="auto" w:val="clear"/>
          <w:lang w:val="es-MX"/>
        </w:rPr>
        <w:t>de</w:t>
      </w:r>
      <w:bookmarkStart w:id="119" w:name="DWT2095_Copia_1_Copia_1"/>
      <w:bookmarkStart w:id="120" w:name="DWT1965_Copia_1_Copia_1"/>
      <w:bookmarkEnd w:id="119"/>
      <w:bookmarkEnd w:id="120"/>
      <w:r>
        <w:rPr>
          <w:rFonts w:cs="Tahoma" w:ascii="Tahoma" w:hAnsi="Tahoma"/>
          <w:sz w:val="20"/>
          <w:szCs w:val="20"/>
          <w:shd w:fill="auto" w:val="clear"/>
          <w:lang w:val="es-MX"/>
        </w:rPr>
        <w:t xml:space="preserve"> Declaraciones Juradas pagadas antes del inicio  Inicio de la Ejecución Tributaria.</w:t>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g) Notificar y realizar las diligencias de notificación de los actos conclusivos, de acuerdo al Manual de Procedimiento de Notificaciones.</w:t>
      </w:r>
    </w:p>
    <w:p>
      <w:pPr>
        <w:pStyle w:val="ListParagraph"/>
        <w:numPr>
          <w:ilvl w:val="0"/>
          <w:numId w:val="0"/>
        </w:numPr>
        <w:ind w:hanging="0" w:left="1761"/>
        <w:rPr>
          <w:rFonts w:ascii="Tahoma" w:hAnsi="Tahoma" w:cs="Tahoma"/>
          <w:shd w:fill="auto" w:val="clear"/>
          <w:lang w:val="es-MX"/>
        </w:rPr>
      </w:pPr>
      <w:r>
        <w:rPr>
          <w:rFonts w:cs="Tahoma" w:ascii="Tahoma" w:hAnsi="Tahoma"/>
          <w:shd w:fill="auto" w:val="clear"/>
          <w:lang w:val="es-MX"/>
        </w:rPr>
      </w:r>
    </w:p>
    <w:p>
      <w:pPr>
        <w:pStyle w:val="Normal"/>
        <w:numPr>
          <w:ilvl w:val="0"/>
          <w:numId w:val="0"/>
        </w:numPr>
        <w:ind w:hanging="0" w:left="907" w:right="0"/>
        <w:jc w:val="both"/>
        <w:rPr>
          <w:shd w:fill="auto" w:val="clear"/>
        </w:rPr>
      </w:pPr>
      <w:r>
        <w:rPr>
          <w:rFonts w:cs="Tahoma" w:ascii="Tahoma" w:hAnsi="Tahoma"/>
          <w:sz w:val="20"/>
          <w:szCs w:val="20"/>
          <w:shd w:fill="auto" w:val="clear"/>
          <w:lang w:val="es-MX"/>
        </w:rPr>
        <w:t>h) Emitir y presentar notas de levantamientos de medidas coactivas dirigidas a las entidades ejecutoras correspondientes como consecuencia directa e inseparable de la emisión de Autos de Conclusión de Tramite en aquellos casos en los que se hubiere dispuesto medidas coactivas.</w:t>
      </w:r>
    </w:p>
    <w:p>
      <w:pPr>
        <w:pStyle w:val="ListParagraph"/>
        <w:numPr>
          <w:ilvl w:val="0"/>
          <w:numId w:val="0"/>
        </w:numPr>
        <w:ind w:hanging="0" w:left="1761"/>
        <w:rPr>
          <w:rFonts w:ascii="Tahoma" w:hAnsi="Tahoma" w:cs="Tahoma"/>
          <w:shd w:fill="auto" w:val="clear"/>
          <w:lang w:val="es-MX"/>
        </w:rPr>
      </w:pPr>
      <w:r>
        <w:rPr>
          <w:rFonts w:cs="Tahoma" w:ascii="Tahoma" w:hAnsi="Tahoma"/>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 xml:space="preserve">i) Registrar en el Sistema de Cobranza Coactiva, los actos administrativos que den por concluido los procesos de cobro. </w:t>
      </w:r>
    </w:p>
    <w:p>
      <w:pPr>
        <w:pStyle w:val="ListParagraph"/>
        <w:numPr>
          <w:ilvl w:val="0"/>
          <w:numId w:val="0"/>
        </w:numPr>
        <w:ind w:hanging="0" w:left="1761"/>
        <w:rPr>
          <w:rFonts w:ascii="Tahoma" w:hAnsi="Tahoma" w:cs="Tahoma"/>
          <w:shd w:fill="auto" w:val="clear"/>
        </w:rPr>
      </w:pPr>
      <w:r>
        <w:rPr>
          <w:rFonts w:cs="Tahoma" w:ascii="Tahoma" w:hAnsi="Tahoma"/>
          <w:shd w:fill="auto" w:val="clear"/>
        </w:rPr>
      </w:r>
    </w:p>
    <w:p>
      <w:pPr>
        <w:pStyle w:val="Normal"/>
        <w:numPr>
          <w:ilvl w:val="0"/>
          <w:numId w:val="0"/>
        </w:numPr>
        <w:ind w:hanging="0" w:left="907" w:right="0"/>
        <w:jc w:val="both"/>
        <w:rPr>
          <w:rFonts w:ascii="Tahoma" w:hAnsi="Tahoma" w:cs="Tahoma"/>
          <w:sz w:val="20"/>
          <w:szCs w:val="20"/>
          <w:shd w:fill="auto" w:val="clear"/>
        </w:rPr>
      </w:pPr>
      <w:r>
        <w:rPr>
          <w:rFonts w:cs="Tahoma" w:ascii="Tahoma" w:hAnsi="Tahoma"/>
          <w:sz w:val="20"/>
          <w:szCs w:val="20"/>
          <w:shd w:fill="auto" w:val="clear"/>
        </w:rPr>
        <w:t>j) Registrar, actualizar e inventariar los procesos de cobro, en el sistema habilitado para el efecto.</w:t>
      </w:r>
    </w:p>
    <w:p>
      <w:pPr>
        <w:pStyle w:val="ListParagraph"/>
        <w:numPr>
          <w:ilvl w:val="0"/>
          <w:numId w:val="0"/>
        </w:numPr>
        <w:ind w:hanging="0" w:left="1761"/>
        <w:rPr>
          <w:rFonts w:ascii="Tahoma" w:hAnsi="Tahoma" w:cs="Tahoma"/>
          <w:shd w:fill="auto" w:val="clear"/>
          <w:lang w:val="es-MX"/>
        </w:rPr>
      </w:pPr>
      <w:r>
        <w:rPr>
          <w:rFonts w:cs="Tahoma" w:ascii="Tahoma" w:hAnsi="Tahoma"/>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k) Glosar y foliar los expedientes, a efectos de su remisión de Archivo Institucional de la Gerencia Distrital y/o Graco, cuando corresponda.</w:t>
      </w:r>
    </w:p>
    <w:p>
      <w:pPr>
        <w:pStyle w:val="Normal"/>
        <w:numPr>
          <w:ilvl w:val="0"/>
          <w:numId w:val="0"/>
        </w:numPr>
        <w:ind w:hanging="0" w:left="1551"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l) Digitalizar los proceso inherentes a la ejecución tributaria y otra documentación.</w:t>
      </w:r>
    </w:p>
    <w:p>
      <w:pPr>
        <w:pStyle w:val="Normal"/>
        <w:numPr>
          <w:ilvl w:val="0"/>
          <w:numId w:val="0"/>
        </w:numPr>
        <w:ind w:hanging="0" w:left="1551"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m) Proceder a la reposición de procesos de cobro u otra documentación, en los casos que así corresponda de acuerdo a lo establecido por la Ley N.º 2341 Ley de Procedimiento Administrativo.</w:t>
      </w:r>
    </w:p>
    <w:p>
      <w:pPr>
        <w:pStyle w:val="ListParagraph"/>
        <w:numPr>
          <w:ilvl w:val="0"/>
          <w:numId w:val="0"/>
        </w:numPr>
        <w:ind w:hanging="0" w:left="1761"/>
        <w:rPr>
          <w:rFonts w:ascii="Tahoma" w:hAnsi="Tahoma" w:cs="Tahoma"/>
          <w:shd w:fill="auto" w:val="clear"/>
          <w:lang w:val="es-MX"/>
        </w:rPr>
      </w:pPr>
      <w:r>
        <w:rPr>
          <w:rFonts w:cs="Tahoma" w:ascii="Tahoma" w:hAnsi="Tahoma"/>
          <w:shd w:fill="auto" w:val="clear"/>
          <w:lang w:val="es-MX"/>
        </w:rPr>
      </w:r>
    </w:p>
    <w:p>
      <w:pPr>
        <w:pStyle w:val="Normal"/>
        <w:numPr>
          <w:ilvl w:val="0"/>
          <w:numId w:val="0"/>
        </w:numPr>
        <w:ind w:hanging="0" w:left="907" w:right="0"/>
        <w:jc w:val="both"/>
        <w:rPr>
          <w:rFonts w:ascii="Tahoma" w:hAnsi="Tahoma" w:cs="Tahoma"/>
          <w:sz w:val="20"/>
          <w:szCs w:val="20"/>
          <w:shd w:fill="auto" w:val="clear"/>
          <w:lang w:val="es-MX"/>
        </w:rPr>
      </w:pPr>
      <w:r>
        <w:rPr>
          <w:rFonts w:cs="Tahoma" w:ascii="Tahoma" w:hAnsi="Tahoma"/>
          <w:sz w:val="20"/>
          <w:szCs w:val="20"/>
          <w:shd w:fill="auto" w:val="clear"/>
          <w:lang w:val="es-MX"/>
        </w:rPr>
        <w:t xml:space="preserve">n) Emitir informes de avance, mensuales e informe final de actividades, además de cualquier información a solicitud.   </w:t>
      </w:r>
    </w:p>
    <w:p>
      <w:pPr>
        <w:pStyle w:val="ListParagraph"/>
        <w:numPr>
          <w:ilvl w:val="0"/>
          <w:numId w:val="0"/>
        </w:numPr>
        <w:ind w:hanging="0" w:left="1761"/>
        <w:rPr>
          <w:rFonts w:ascii="Tahoma" w:hAnsi="Tahoma" w:cs="Tahoma"/>
          <w:shd w:fill="auto" w:val="clear"/>
        </w:rPr>
      </w:pPr>
      <w:r>
        <w:rPr>
          <w:rFonts w:cs="Tahoma" w:ascii="Tahoma" w:hAnsi="Tahoma"/>
          <w:shd w:fill="auto" w:val="clear"/>
        </w:rPr>
      </w:r>
    </w:p>
    <w:p>
      <w:pPr>
        <w:pStyle w:val="Normal"/>
        <w:numPr>
          <w:ilvl w:val="0"/>
          <w:numId w:val="0"/>
        </w:numPr>
        <w:ind w:hanging="0" w:left="907" w:right="0"/>
        <w:jc w:val="both"/>
        <w:rPr>
          <w:rFonts w:ascii="Tahoma" w:hAnsi="Tahoma" w:cs="Tahoma"/>
          <w:sz w:val="20"/>
          <w:szCs w:val="20"/>
          <w:shd w:fill="auto" w:val="clear"/>
        </w:rPr>
      </w:pPr>
      <w:r>
        <w:rPr>
          <w:rFonts w:cs="Tahoma" w:ascii="Tahoma" w:hAnsi="Tahoma"/>
          <w:sz w:val="20"/>
          <w:szCs w:val="20"/>
          <w:shd w:fill="auto" w:val="clear"/>
        </w:rPr>
        <w:t xml:space="preserve">o) Participar en los Operativos de fiabilidad, Control Móvil de Facturación y otros que sean determinados por las Áreas Sustantivas del Servicio de Impuestos Nacionales. </w:t>
      </w:r>
    </w:p>
    <w:p>
      <w:pPr>
        <w:pStyle w:val="Normal"/>
        <w:numPr>
          <w:ilvl w:val="0"/>
          <w:numId w:val="0"/>
        </w:numPr>
        <w:ind w:hanging="0" w:left="0" w:right="0"/>
        <w:jc w:val="both"/>
        <w:rPr>
          <w:rFonts w:ascii="Tahoma" w:hAnsi="Tahoma" w:cs="Tahoma"/>
          <w:sz w:val="20"/>
          <w:szCs w:val="20"/>
          <w:shd w:fill="F6F9D4" w:val="clear"/>
          <w:lang w:val="es-MX"/>
        </w:rPr>
      </w:pPr>
      <w:r>
        <w:rPr>
          <w:rFonts w:cs="Tahoma" w:ascii="Tahoma" w:hAnsi="Tahoma"/>
          <w:sz w:val="20"/>
          <w:szCs w:val="20"/>
          <w:shd w:fill="F6F9D4" w:val="clear"/>
          <w:lang w:val="es-MX"/>
        </w:rPr>
      </w:r>
    </w:p>
    <w:p>
      <w:pPr>
        <w:pStyle w:val="Normal"/>
        <w:numPr>
          <w:ilvl w:val="0"/>
          <w:numId w:val="0"/>
        </w:numPr>
        <w:ind w:hanging="0" w:left="907" w:right="0"/>
        <w:jc w:val="both"/>
        <w:rPr>
          <w:rFonts w:ascii="Tahoma" w:hAnsi="Tahoma" w:cs="Tahoma"/>
          <w:color w:val="000000"/>
          <w:sz w:val="20"/>
          <w:szCs w:val="20"/>
          <w:shd w:fill="auto" w:val="clear"/>
          <w:lang w:val="es-MX"/>
        </w:rPr>
      </w:pPr>
      <w:r>
        <w:rPr>
          <w:rFonts w:cs="Tahoma" w:ascii="Tahoma" w:hAnsi="Tahoma"/>
          <w:color w:val="000000"/>
          <w:sz w:val="20"/>
          <w:szCs w:val="20"/>
          <w:shd w:fill="auto" w:val="clear"/>
          <w:lang w:val="es-MX"/>
        </w:rPr>
        <w:t>p) Efectuar otras tareas relativas a la naturaleza funcional del Proyecto que le sean asignadas.</w:t>
      </w:r>
    </w:p>
    <w:p>
      <w:pPr>
        <w:pStyle w:val="Heading1"/>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 xml:space="preserve">RESULTADO ESPERADO DE LA CONSULTORÍA DE LÍNEA </w:t>
      </w:r>
    </w:p>
    <w:p>
      <w:pPr>
        <w:pStyle w:val="ListParagraph"/>
        <w:widowControl/>
        <w:suppressAutoHyphens w:val="true"/>
        <w:bidi w:val="0"/>
        <w:spacing w:before="0" w:after="0"/>
        <w:ind w:hanging="0" w:left="454" w:right="0"/>
        <w:jc w:val="both"/>
        <w:rPr>
          <w:sz w:val="20"/>
          <w:szCs w:val="20"/>
          <w:shd w:fill="auto" w:val="clear"/>
        </w:rPr>
      </w:pPr>
      <w:r>
        <w:rPr>
          <w:rFonts w:cs="Tahoma" w:ascii="Tahoma" w:hAnsi="Tahoma"/>
          <w:bCs/>
          <w:sz w:val="20"/>
          <w:szCs w:val="20"/>
          <w:shd w:fill="auto" w:val="clear"/>
          <w:lang w:val="es-MX" w:eastAsia="en-US"/>
        </w:rPr>
        <w:t>Atender</w:t>
      </w:r>
      <w:r>
        <w:rPr>
          <w:rFonts w:cs="Tahoma" w:ascii="Tahoma" w:hAnsi="Tahoma"/>
          <w:bCs/>
          <w:sz w:val="20"/>
          <w:szCs w:val="20"/>
          <w:shd w:fill="auto" w:val="clear"/>
          <w:lang w:eastAsia="en-US"/>
        </w:rPr>
        <w:t xml:space="preserve"> el 100% de todos los procesos de cobro que le sean asignados en cuanto a la emisión de Actos Conclusivos, los cuales deberán comprender obligatoriamente el Auto de Conclusión y el levantamiento de medidas coactivas que correspondan y su registro en el Sistema de Cobranza Coactiva, de acuerdo con lo siguiente:</w:t>
      </w:r>
    </w:p>
    <w:p>
      <w:pPr>
        <w:pStyle w:val="ListParagraph"/>
        <w:widowControl/>
        <w:suppressAutoHyphens w:val="true"/>
        <w:bidi w:val="0"/>
        <w:spacing w:before="0" w:after="0"/>
        <w:ind w:hanging="0" w:left="454" w:right="0"/>
        <w:jc w:val="both"/>
        <w:rPr>
          <w:rFonts w:ascii="Tahoma" w:hAnsi="Tahoma" w:cs="Tahoma"/>
          <w:bCs/>
          <w:sz w:val="20"/>
          <w:szCs w:val="20"/>
          <w:shd w:fill="auto" w:val="clear"/>
          <w:lang w:eastAsia="en-US"/>
        </w:rPr>
      </w:pPr>
      <w:r>
        <w:rPr>
          <w:rFonts w:cs="Tahoma" w:ascii="Tahoma" w:hAnsi="Tahoma"/>
          <w:bCs/>
          <w:sz w:val="20"/>
          <w:szCs w:val="20"/>
          <w:shd w:fill="auto" w:val="clear"/>
          <w:lang w:eastAsia="en-US"/>
        </w:rPr>
      </w:r>
    </w:p>
    <w:p>
      <w:pPr>
        <w:pStyle w:val="ListParagraph"/>
        <w:numPr>
          <w:ilvl w:val="0"/>
          <w:numId w:val="5"/>
        </w:numPr>
        <w:jc w:val="both"/>
        <w:rPr>
          <w:sz w:val="19"/>
          <w:szCs w:val="19"/>
          <w:shd w:fill="auto" w:val="clear"/>
        </w:rPr>
      </w:pPr>
      <w:r>
        <w:rPr>
          <w:rFonts w:cs="Tahoma" w:ascii="Tahoma" w:hAnsi="Tahoma"/>
          <w:bCs/>
          <w:sz w:val="20"/>
          <w:szCs w:val="20"/>
          <w:shd w:fill="auto" w:val="clear"/>
          <w:lang w:val="es-BO" w:eastAsia="en-US"/>
        </w:rPr>
        <w:t>Depuración</w:t>
      </w:r>
      <w:r>
        <w:rPr>
          <w:rFonts w:cs="Tahoma" w:ascii="Tahoma" w:hAnsi="Tahoma"/>
          <w:bCs/>
          <w:sz w:val="20"/>
          <w:szCs w:val="20"/>
          <w:shd w:fill="auto" w:val="clear"/>
          <w:lang w:eastAsia="en-US"/>
        </w:rPr>
        <w:t xml:space="preserve"> de la cartera en mora y r</w:t>
      </w:r>
      <w:r>
        <w:rPr>
          <w:rFonts w:cs="Tahoma" w:ascii="Tahoma" w:hAnsi="Tahoma"/>
          <w:bCs/>
          <w:sz w:val="20"/>
          <w:szCs w:val="20"/>
          <w:shd w:fill="auto" w:val="clear"/>
          <w:lang w:val="es-MX" w:eastAsia="en-US"/>
        </w:rPr>
        <w:t>educción de cantidad de procesos pagados pendientes de conclusión a través de la elaboración de Informes de No Existencia de adeudos tributarios (denominados Informes “0” e Informes de Conclusión) y consiguiente emisión de Actos Conclusivos (Autos de Conclusión de Trámite, Resoluciones Finales de Sumario, Resoluciones Sancionatorias Pagadas, Resoluciones Administrativas de Nulidad o Exoneración y generar Reporte</w:t>
      </w:r>
      <w:bookmarkStart w:id="121" w:name="DWT1961_Copia_1_Copia_2"/>
      <w:bookmarkStart w:id="122" w:name="DWT2091_Copia_1_Copia_2"/>
      <w:bookmarkEnd w:id="121"/>
      <w:bookmarkEnd w:id="122"/>
      <w:r>
        <w:rPr>
          <w:rFonts w:cs="Tahoma" w:ascii="Tahoma" w:hAnsi="Tahoma"/>
          <w:bCs/>
          <w:sz w:val="20"/>
          <w:szCs w:val="20"/>
          <w:shd w:fill="auto" w:val="clear"/>
          <w:lang w:val="es-MX" w:eastAsia="en-US"/>
        </w:rPr>
        <w:t xml:space="preserve">s </w:t>
      </w:r>
      <w:bookmarkStart w:id="123" w:name="DWT1963_Copia_1_Copia_2"/>
      <w:bookmarkStart w:id="124" w:name="DWT2093_Copia_1_Copia_2"/>
      <w:bookmarkEnd w:id="123"/>
      <w:bookmarkEnd w:id="124"/>
      <w:r>
        <w:rPr>
          <w:rFonts w:cs="Tahoma" w:ascii="Tahoma" w:hAnsi="Tahoma"/>
          <w:bCs/>
          <w:sz w:val="20"/>
          <w:szCs w:val="20"/>
          <w:shd w:fill="auto" w:val="clear"/>
          <w:lang w:val="es-MX" w:eastAsia="en-US"/>
        </w:rPr>
        <w:t>de</w:t>
      </w:r>
      <w:bookmarkStart w:id="125" w:name="DWT1965_Copia_1_Copia_2"/>
      <w:bookmarkStart w:id="126" w:name="DWT2095_Copia_1_Copia_2"/>
      <w:bookmarkEnd w:id="125"/>
      <w:bookmarkEnd w:id="126"/>
      <w:r>
        <w:rPr>
          <w:rFonts w:cs="Tahoma" w:ascii="Tahoma" w:hAnsi="Tahoma"/>
          <w:bCs/>
          <w:sz w:val="20"/>
          <w:szCs w:val="20"/>
          <w:shd w:fill="auto" w:val="clear"/>
          <w:lang w:val="es-MX" w:eastAsia="en-US"/>
        </w:rPr>
        <w:t xml:space="preserve"> Declaraciones Juradas pagadas antes del inicio  Inicio de la Ejecución Tributaria) así como la gestión de archivo, registro y actualización del proceso de cobro en el Sistema de Cobranza Coactiva. </w:t>
      </w:r>
    </w:p>
    <w:p>
      <w:pPr>
        <w:pStyle w:val="ListParagraph"/>
        <w:ind w:hanging="0" w:left="644" w:right="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Normal"/>
        <w:widowControl/>
        <w:numPr>
          <w:ilvl w:val="0"/>
          <w:numId w:val="7"/>
        </w:numPr>
        <w:suppressAutoHyphens w:val="true"/>
        <w:bidi w:val="0"/>
        <w:spacing w:before="0" w:after="0"/>
        <w:ind w:hanging="340" w:left="680" w:right="0"/>
        <w:jc w:val="both"/>
        <w:rPr/>
      </w:pPr>
      <w:r>
        <w:rPr>
          <w:rFonts w:eastAsia="Times New Roman" w:cs="Tahoma" w:ascii="Tahoma" w:hAnsi="Tahoma"/>
          <w:sz w:val="20"/>
          <w:szCs w:val="20"/>
          <w:shd w:fill="auto" w:val="clear"/>
          <w:lang w:val="es-MX" w:eastAsia="en-US"/>
        </w:rPr>
        <w:t>Emitir y presentar notas de levantamientos de medidas coactivas dirigidas a las entidades ejecutoras correspondientes en aquellos casos en los que se hubiere dispuesto medidas coactivas.</w:t>
      </w:r>
    </w:p>
    <w:p>
      <w:pPr>
        <w:pStyle w:val="Normal"/>
        <w:ind w:hanging="0" w:left="907" w:right="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Normal"/>
        <w:widowControl/>
        <w:numPr>
          <w:ilvl w:val="0"/>
          <w:numId w:val="8"/>
        </w:numPr>
        <w:suppressAutoHyphens w:val="true"/>
        <w:bidi w:val="0"/>
        <w:spacing w:before="0" w:after="0"/>
        <w:ind w:hanging="283" w:left="624" w:right="0"/>
        <w:jc w:val="both"/>
        <w:rPr/>
      </w:pPr>
      <w:r>
        <w:rPr>
          <w:rFonts w:eastAsia="Times New Roman" w:cs="Tahoma" w:ascii="Tahoma" w:hAnsi="Tahoma"/>
          <w:sz w:val="20"/>
          <w:szCs w:val="20"/>
          <w:shd w:fill="auto" w:val="clear"/>
          <w:lang w:val="es-MX" w:eastAsia="en-US"/>
        </w:rPr>
        <w:t xml:space="preserve">Registrar en el Sistema de Cobranza Coactiva, los actos administrativos que den por concluido los procesos de cobro. </w:t>
      </w:r>
    </w:p>
    <w:p>
      <w:pPr>
        <w:pStyle w:val="Normal"/>
        <w:widowControl/>
        <w:suppressAutoHyphens w:val="true"/>
        <w:bidi w:val="0"/>
        <w:spacing w:before="0" w:after="0"/>
        <w:ind w:hanging="0" w:left="397"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widowControl/>
        <w:numPr>
          <w:ilvl w:val="0"/>
          <w:numId w:val="8"/>
        </w:numPr>
        <w:suppressAutoHyphens w:val="true"/>
        <w:bidi w:val="0"/>
        <w:spacing w:before="0" w:after="0"/>
        <w:ind w:hanging="340" w:left="624" w:right="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t>Digitalizar los proceso inherentes a la ejecución tributaria y otra documentación.</w:t>
      </w:r>
    </w:p>
    <w:p>
      <w:pPr>
        <w:pStyle w:val="Normal"/>
        <w:ind w:hanging="340" w:left="907" w:right="0"/>
        <w:jc w:val="both"/>
        <w:rPr>
          <w:rFonts w:ascii="Tahoma" w:hAnsi="Tahoma" w:eastAsia="Times New Roman" w:cs="Tahoma"/>
          <w:sz w:val="20"/>
          <w:szCs w:val="20"/>
          <w:shd w:fill="auto" w:val="clear"/>
          <w:lang w:val="es-MX" w:eastAsia="en-US"/>
        </w:rPr>
      </w:pPr>
      <w:r>
        <w:rPr>
          <w:rFonts w:eastAsia="Times New Roman" w:cs="Tahoma" w:ascii="Tahoma" w:hAnsi="Tahoma"/>
          <w:sz w:val="20"/>
          <w:szCs w:val="20"/>
          <w:shd w:fill="auto" w:val="clear"/>
          <w:lang w:val="es-MX" w:eastAsia="en-US"/>
        </w:rPr>
      </w:r>
    </w:p>
    <w:p>
      <w:pPr>
        <w:pStyle w:val="Heading1"/>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PRESENTACIÓN DE INFORMES MENSUALES</w:t>
      </w:r>
    </w:p>
    <w:p>
      <w:pPr>
        <w:pStyle w:val="Normal"/>
        <w:jc w:val="both"/>
        <w:rPr>
          <w:shd w:fill="auto" w:val="clear"/>
        </w:rPr>
      </w:pPr>
      <w:r>
        <w:rPr>
          <w:rFonts w:cs="Tahoma" w:ascii="Tahoma" w:hAnsi="Tahoma"/>
          <w:shd w:fill="auto" w:val="clear"/>
        </w:rPr>
        <w:t xml:space="preserve">   </w:t>
      </w:r>
      <w:r>
        <w:rPr>
          <w:rFonts w:cs="Tahoma" w:ascii="Tahoma" w:hAnsi="Tahoma"/>
          <w:sz w:val="19"/>
          <w:szCs w:val="19"/>
          <w:shd w:fill="auto" w:val="clear"/>
        </w:rPr>
        <w:t xml:space="preserve"> </w:t>
      </w:r>
      <w:r>
        <w:rPr>
          <w:rFonts w:cs="Tahoma" w:ascii="Tahoma" w:hAnsi="Tahoma"/>
          <w:b/>
          <w:sz w:val="20"/>
          <w:szCs w:val="20"/>
          <w:shd w:fill="auto" w:val="clear"/>
        </w:rPr>
        <w:t>Presentación de informes mensuales:</w:t>
      </w:r>
    </w:p>
    <w:p>
      <w:pPr>
        <w:pStyle w:val="Normal"/>
        <w:jc w:val="both"/>
        <w:rPr>
          <w:rFonts w:ascii="Tahoma" w:hAnsi="Tahoma" w:cs="Tahoma"/>
          <w:b/>
          <w:sz w:val="20"/>
          <w:szCs w:val="20"/>
          <w:shd w:fill="auto" w:val="clear"/>
        </w:rPr>
      </w:pPr>
      <w:r>
        <w:rPr>
          <w:rFonts w:cs="Tahoma" w:ascii="Tahoma" w:hAnsi="Tahoma"/>
          <w:b/>
          <w:sz w:val="20"/>
          <w:szCs w:val="20"/>
          <w:shd w:fill="auto" w:val="clear"/>
        </w:rPr>
      </w:r>
    </w:p>
    <w:p>
      <w:pPr>
        <w:pStyle w:val="ListParagraph"/>
        <w:widowControl/>
        <w:suppressAutoHyphens w:val="true"/>
        <w:bidi w:val="0"/>
        <w:spacing w:before="0" w:after="0"/>
        <w:ind w:hanging="0" w:left="283" w:right="0"/>
        <w:contextualSpacing/>
        <w:jc w:val="both"/>
        <w:rPr>
          <w:sz w:val="20"/>
          <w:szCs w:val="20"/>
          <w:shd w:fill="auto" w:val="clear"/>
        </w:rPr>
      </w:pPr>
      <w:r>
        <w:rPr>
          <w:rFonts w:cs="Tahoma" w:ascii="Tahoma" w:hAnsi="Tahoma"/>
          <w:color w:val="000000"/>
          <w:sz w:val="20"/>
          <w:szCs w:val="20"/>
          <w:shd w:fill="auto" w:val="clear"/>
        </w:rPr>
        <w:t xml:space="preserve">El </w:t>
      </w:r>
      <w:r>
        <w:rPr>
          <w:rFonts w:cs="Tahoma" w:ascii="Tahoma" w:hAnsi="Tahoma"/>
          <w:b/>
          <w:bCs/>
          <w:color w:val="000000"/>
          <w:sz w:val="20"/>
          <w:szCs w:val="20"/>
          <w:shd w:fill="auto" w:val="clear"/>
        </w:rPr>
        <w:t>CONSULTOR</w:t>
      </w:r>
      <w:r>
        <w:rPr>
          <w:rFonts w:cs="Tahoma" w:ascii="Tahoma" w:hAnsi="Tahoma"/>
          <w:b/>
          <w:color w:val="000000"/>
          <w:sz w:val="20"/>
          <w:szCs w:val="20"/>
          <w:shd w:fill="auto" w:val="clear"/>
        </w:rPr>
        <w:t>,</w:t>
      </w:r>
      <w:r>
        <w:rPr>
          <w:rFonts w:cs="Tahoma" w:ascii="Tahoma" w:hAnsi="Tahoma"/>
          <w:color w:val="000000"/>
          <w:sz w:val="20"/>
          <w:szCs w:val="20"/>
          <w:shd w:fill="auto" w:val="clear"/>
        </w:rPr>
        <w:t xml:space="preserve"> deberá presentar el “Informe Mensual de Actividades” hasta el tercer (3er) día hábil del siguiente mes al que se cancelará el mismo, el cual deberá estar dirigido al Jefe de departamento Jurídico y de Cobranza Coactiva; adjuntando fotocopia del formulario de pago de contribuciones al Sistema de Pensiones como Asegurado y fotocopia de declaración jurada trimestral de pago de impuestos cuando corresponda.</w:t>
      </w:r>
    </w:p>
    <w:p>
      <w:pPr>
        <w:pStyle w:val="NoSpacing"/>
        <w:ind w:hanging="0" w:left="567" w:right="0"/>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ListParagraph"/>
        <w:widowControl/>
        <w:suppressAutoHyphens w:val="true"/>
        <w:bidi w:val="0"/>
        <w:spacing w:before="0" w:after="0"/>
        <w:ind w:hanging="0" w:left="340" w:right="283"/>
        <w:contextualSpacing/>
        <w:jc w:val="both"/>
        <w:rPr/>
      </w:pPr>
      <w:r>
        <w:rPr>
          <w:rFonts w:cs="Tahoma" w:ascii="Tahoma" w:hAnsi="Tahoma"/>
          <w:b/>
          <w:bCs/>
          <w:color w:val="000000"/>
          <w:sz w:val="20"/>
          <w:szCs w:val="20"/>
          <w:shd w:fill="auto" w:val="clear"/>
          <w:lang w:val="es-MX"/>
        </w:rPr>
        <w:t>El Jefe de Departamento Jurídico y de Cobranza Coactiva</w:t>
      </w:r>
      <w:r>
        <w:rPr>
          <w:rFonts w:cs="Tahoma" w:ascii="Tahoma" w:hAnsi="Tahoma"/>
          <w:color w:val="000000"/>
          <w:sz w:val="20"/>
          <w:szCs w:val="20"/>
          <w:shd w:fill="auto" w:val="clear"/>
          <w:lang w:val="es-MX"/>
        </w:rPr>
        <w:t xml:space="preserve">, deberá aprobar (firma y sello) el “Informe Mensual de Actividades” presentado por el Consultor hasta el día hábil siguiente </w:t>
      </w:r>
      <w:r>
        <w:rPr>
          <w:rFonts w:eastAsia="Times New Roman" w:cs="Tahoma" w:ascii="Tahoma" w:hAnsi="Tahoma"/>
          <w:color w:val="000000"/>
          <w:kern w:val="0"/>
          <w:sz w:val="20"/>
          <w:szCs w:val="20"/>
          <w:shd w:fill="auto" w:val="clear"/>
          <w:lang w:val="es-MX" w:eastAsia="en-US" w:bidi="ar-SA"/>
        </w:rPr>
        <w:t>de recibido el mismo</w:t>
      </w:r>
      <w:r>
        <w:rPr>
          <w:rFonts w:cs="Tahoma" w:ascii="Tahoma" w:hAnsi="Tahoma"/>
          <w:color w:val="000000"/>
          <w:sz w:val="20"/>
          <w:szCs w:val="20"/>
          <w:shd w:fill="auto" w:val="clear"/>
          <w:lang w:val="es-MX"/>
        </w:rPr>
        <w:t>.</w:t>
      </w:r>
    </w:p>
    <w:p>
      <w:pPr>
        <w:pStyle w:val="ListParagraph"/>
        <w:spacing w:before="0" w:after="0"/>
        <w:contextualSpacing/>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ListParagraph"/>
        <w:widowControl/>
        <w:tabs>
          <w:tab w:val="clear" w:pos="709"/>
          <w:tab w:val="left" w:pos="510" w:leader="none"/>
        </w:tabs>
        <w:suppressAutoHyphens w:val="false"/>
        <w:bidi w:val="0"/>
        <w:spacing w:before="0" w:after="0"/>
        <w:ind w:hanging="0" w:left="340" w:right="283"/>
        <w:contextualSpacing/>
        <w:jc w:val="both"/>
        <w:rPr/>
      </w:pPr>
      <w:r>
        <w:rPr>
          <w:rFonts w:cs="Tahoma" w:ascii="Tahoma" w:hAnsi="Tahoma"/>
          <w:b/>
          <w:bCs/>
          <w:color w:val="000000"/>
          <w:sz w:val="20"/>
          <w:szCs w:val="20"/>
          <w:shd w:fill="auto" w:val="clear"/>
        </w:rPr>
        <w:t xml:space="preserve">El Jefe de Departamento </w:t>
      </w:r>
      <w:r>
        <w:rPr>
          <w:rFonts w:cs="Tahoma" w:ascii="Tahoma" w:hAnsi="Tahoma"/>
          <w:b/>
          <w:bCs/>
          <w:color w:val="000000"/>
          <w:sz w:val="20"/>
          <w:szCs w:val="20"/>
          <w:shd w:fill="auto" w:val="clear"/>
          <w:lang w:val="es-MX"/>
        </w:rPr>
        <w:t>Jurídico y de Cobranza Coactiva</w:t>
      </w:r>
      <w:r>
        <w:rPr>
          <w:rFonts w:cs="Tahoma" w:ascii="Tahoma" w:hAnsi="Tahoma"/>
          <w:color w:val="000000"/>
          <w:sz w:val="20"/>
          <w:szCs w:val="20"/>
          <w:shd w:fill="auto" w:val="clear"/>
        </w:rPr>
        <w:t xml:space="preserve">, remitirá el “Informe Mensual de Actividades” aprobado mediante Informe al Gerente Distrital Montero hasta el día hábil siguiente </w:t>
      </w:r>
      <w:r>
        <w:rPr>
          <w:rFonts w:eastAsia="Times New Roman" w:cs="Tahoma" w:ascii="Tahoma" w:hAnsi="Tahoma"/>
          <w:color w:val="000000"/>
          <w:kern w:val="0"/>
          <w:sz w:val="20"/>
          <w:szCs w:val="20"/>
          <w:shd w:fill="auto" w:val="clear"/>
          <w:lang w:val="es-ES" w:eastAsia="en-US" w:bidi="ar-SA"/>
        </w:rPr>
        <w:t>de aprobado el informe mensual, dentro del mes que se esta cancelando.</w:t>
      </w:r>
    </w:p>
    <w:p>
      <w:pPr>
        <w:pStyle w:val="ListParagraph"/>
        <w:spacing w:before="0" w:after="0"/>
        <w:ind w:hanging="454" w:left="737" w:right="0"/>
        <w:contextualSpacing/>
        <w:jc w:val="both"/>
        <w:rPr>
          <w:rFonts w:ascii="Cambria" w:hAnsi="Cambria"/>
          <w:sz w:val="20"/>
          <w:szCs w:val="20"/>
          <w:shd w:fill="auto" w:val="clear"/>
        </w:rPr>
      </w:pPr>
      <w:r>
        <w:rPr>
          <w:rFonts w:ascii="Cambria" w:hAnsi="Cambria"/>
          <w:sz w:val="20"/>
          <w:szCs w:val="20"/>
          <w:shd w:fill="auto" w:val="clear"/>
        </w:rPr>
      </w:r>
    </w:p>
    <w:p>
      <w:pPr>
        <w:pStyle w:val="Heading1"/>
        <w:numPr>
          <w:ilvl w:val="0"/>
          <w:numId w:val="1"/>
        </w:numPr>
        <w:pBdr>
          <w:bottom w:val="single" w:sz="12" w:space="1" w:color="365F91"/>
        </w:pBdr>
        <w:spacing w:before="120" w:after="120"/>
        <w:jc w:val="both"/>
        <w:rPr>
          <w:rFonts w:ascii="Tahoma" w:hAnsi="Tahoma" w:cs="Tahoma"/>
          <w:sz w:val="20"/>
          <w:szCs w:val="20"/>
          <w:shd w:fill="auto" w:val="clear"/>
          <w:lang w:val="es-BO"/>
        </w:rPr>
      </w:pPr>
      <w:r>
        <w:rPr>
          <w:rFonts w:cs="Tahoma"/>
          <w:sz w:val="20"/>
          <w:szCs w:val="20"/>
          <w:shd w:fill="auto" w:val="clear"/>
          <w:lang w:val="es-BO"/>
        </w:rPr>
        <w:t>PRESENTACIÓN DE INFORME FINAL</w:t>
      </w:r>
    </w:p>
    <w:p>
      <w:pPr>
        <w:pStyle w:val="NoSpacing"/>
        <w:widowControl/>
        <w:suppressAutoHyphens w:val="true"/>
        <w:bidi w:val="0"/>
        <w:spacing w:before="0" w:after="0"/>
        <w:ind w:hanging="0" w:left="510" w:right="0"/>
        <w:jc w:val="both"/>
        <w:rPr>
          <w:rFonts w:ascii="Tahoma" w:hAnsi="Tahoma" w:cs="Tahoma"/>
          <w:b/>
          <w:sz w:val="20"/>
          <w:szCs w:val="20"/>
          <w:shd w:fill="auto" w:val="clear"/>
        </w:rPr>
      </w:pPr>
      <w:r>
        <w:rPr>
          <w:rFonts w:cs="Tahoma" w:ascii="Tahoma" w:hAnsi="Tahoma"/>
          <w:b/>
          <w:sz w:val="20"/>
          <w:szCs w:val="20"/>
          <w:shd w:fill="auto" w:val="clear"/>
        </w:rPr>
        <w:t>Presentación del Informe Final:</w:t>
      </w:r>
    </w:p>
    <w:p>
      <w:pPr>
        <w:pStyle w:val="NoSpacing"/>
        <w:ind w:hanging="0" w:left="993" w:right="0"/>
        <w:jc w:val="both"/>
        <w:rPr>
          <w:rFonts w:ascii="Tahoma" w:hAnsi="Tahoma" w:cs="Tahoma"/>
          <w:b/>
          <w:sz w:val="20"/>
          <w:szCs w:val="20"/>
          <w:shd w:fill="auto" w:val="clear"/>
        </w:rPr>
      </w:pPr>
      <w:r>
        <w:rPr>
          <w:rFonts w:cs="Tahoma" w:ascii="Tahoma" w:hAnsi="Tahoma"/>
          <w:b/>
          <w:sz w:val="20"/>
          <w:szCs w:val="20"/>
          <w:shd w:fill="auto" w:val="clear"/>
        </w:rPr>
      </w:r>
    </w:p>
    <w:p>
      <w:pPr>
        <w:pStyle w:val="Normal"/>
        <w:numPr>
          <w:ilvl w:val="0"/>
          <w:numId w:val="9"/>
        </w:numPr>
        <w:jc w:val="both"/>
        <w:rPr/>
      </w:pPr>
      <w:r>
        <w:rPr>
          <w:rFonts w:cs="Tahoma" w:ascii="Tahoma" w:hAnsi="Tahoma"/>
          <w:color w:val="000000"/>
          <w:kern w:val="0"/>
          <w:sz w:val="20"/>
          <w:szCs w:val="20"/>
          <w:shd w:fill="auto" w:val="clear"/>
          <w:lang w:val="es-ES" w:eastAsia="en-US" w:bidi="ar-SA"/>
        </w:rPr>
        <w:t xml:space="preserve">A la conclusión del contrato </w:t>
      </w:r>
      <w:r>
        <w:rPr>
          <w:rFonts w:eastAsia="DejaVu Sans" w:cs="Tahoma" w:ascii="Tahoma" w:hAnsi="Tahoma"/>
          <w:color w:val="000000"/>
          <w:kern w:val="0"/>
          <w:sz w:val="20"/>
          <w:szCs w:val="20"/>
          <w:shd w:fill="auto" w:val="clear"/>
          <w:lang w:val="es-ES" w:eastAsia="en-US" w:bidi="ar-SA"/>
        </w:rPr>
        <w:t>el</w:t>
      </w:r>
      <w:r>
        <w:rPr>
          <w:rFonts w:cs="Tahoma" w:ascii="Tahoma" w:hAnsi="Tahoma"/>
          <w:color w:val="000000"/>
          <w:kern w:val="0"/>
          <w:sz w:val="20"/>
          <w:szCs w:val="20"/>
          <w:shd w:fill="auto" w:val="clear"/>
          <w:lang w:val="es-ES" w:eastAsia="en-US" w:bidi="ar-SA"/>
        </w:rPr>
        <w:t xml:space="preserve">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Normal"/>
        <w:ind w:hanging="0" w:left="720" w:right="0"/>
        <w:jc w:val="both"/>
        <w:rPr>
          <w:rFonts w:ascii="Tahoma" w:hAnsi="Tahoma" w:cs="Tahoma"/>
          <w:color w:val="auto"/>
          <w:kern w:val="0"/>
          <w:sz w:val="20"/>
          <w:szCs w:val="20"/>
          <w:shd w:fill="auto" w:val="clear"/>
          <w:lang w:val="es-ES" w:eastAsia="en-US" w:bidi="ar-SA"/>
        </w:rPr>
      </w:pPr>
      <w:r>
        <w:rPr>
          <w:rFonts w:cs="Tahoma" w:ascii="Tahoma" w:hAnsi="Tahoma"/>
          <w:color w:val="000000"/>
          <w:kern w:val="0"/>
          <w:sz w:val="20"/>
          <w:szCs w:val="20"/>
          <w:shd w:fill="auto" w:val="clear"/>
          <w:lang w:val="es-ES" w:eastAsia="en-US" w:bidi="ar-SA"/>
        </w:rPr>
      </w:r>
    </w:p>
    <w:p>
      <w:pPr>
        <w:pStyle w:val="Normal"/>
        <w:numPr>
          <w:ilvl w:val="0"/>
          <w:numId w:val="9"/>
        </w:numPr>
        <w:jc w:val="both"/>
        <w:rPr>
          <w:sz w:val="20"/>
          <w:szCs w:val="20"/>
          <w:shd w:fill="auto" w:val="clear"/>
        </w:rPr>
      </w:pPr>
      <w:r>
        <w:rPr>
          <w:rFonts w:cs="Tahoma" w:ascii="Tahoma" w:hAnsi="Tahoma"/>
          <w:color w:val="000000"/>
          <w:kern w:val="0"/>
          <w:sz w:val="20"/>
          <w:szCs w:val="20"/>
          <w:shd w:fill="auto" w:val="clear"/>
          <w:lang w:val="es-ES" w:eastAsia="en-US" w:bidi="ar-SA"/>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Relacion Contractual,</w:t>
      </w:r>
      <w:r>
        <w:rPr>
          <w:rFonts w:cs="Tahoma" w:ascii="Tahoma" w:hAnsi="Tahoma"/>
          <w:color w:val="000000"/>
          <w:kern w:val="0"/>
          <w:sz w:val="20"/>
          <w:szCs w:val="20"/>
          <w:shd w:fill="auto" w:val="clear"/>
          <w:lang w:val="es-ES" w:eastAsia="en-US" w:bidi="ar-SA"/>
        </w:rPr>
        <w:t xml:space="preserve"> y la solicitud de baja de todos los sistemas a los cuales tuvo acceso el consultor.</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 xml:space="preserve">COORDINACIÓN Y SUPERVISIÓN </w:t>
      </w:r>
    </w:p>
    <w:p>
      <w:pPr>
        <w:pStyle w:val="Normal"/>
        <w:ind w:hanging="0" w:left="426" w:right="0"/>
        <w:jc w:val="both"/>
        <w:rPr>
          <w:sz w:val="20"/>
          <w:szCs w:val="20"/>
          <w:shd w:fill="auto" w:val="clear"/>
        </w:rPr>
      </w:pPr>
      <w:r>
        <w:rPr>
          <w:rFonts w:cs="Tahoma" w:ascii="Tahoma" w:hAnsi="Tahoma"/>
          <w:bCs/>
          <w:iCs/>
          <w:sz w:val="20"/>
          <w:szCs w:val="20"/>
          <w:shd w:fill="auto" w:val="clear"/>
          <w:lang w:eastAsia="en-US"/>
        </w:rPr>
        <w:t xml:space="preserve">La consultoría se realizará en coordinación y supervisión  </w:t>
      </w:r>
      <w:r>
        <w:rPr>
          <w:rFonts w:cs="Tahoma" w:ascii="Tahoma" w:hAnsi="Tahoma"/>
          <w:sz w:val="20"/>
          <w:szCs w:val="20"/>
          <w:shd w:fill="auto" w:val="clear"/>
          <w:lang w:eastAsia="en-US"/>
        </w:rPr>
        <w:t xml:space="preserve">del Supervisor y/o Responsable de Cobranza Coactiva y Jefe de Departamento Jurídico y de Cobranza Coactiva de la Gerencia </w:t>
      </w:r>
      <w:r>
        <w:rPr>
          <w:rFonts w:eastAsia="DejaVu Sans" w:cs="Tahoma" w:ascii="Tahoma" w:hAnsi="Tahoma"/>
          <w:b/>
          <w:color w:val="000000"/>
          <w:kern w:val="0"/>
          <w:sz w:val="20"/>
          <w:szCs w:val="20"/>
          <w:shd w:fill="auto" w:val="clear"/>
          <w:lang w:val="es-BO" w:eastAsia="en-US" w:bidi="ar-SA"/>
        </w:rPr>
        <w:t>Distrital Montero</w:t>
      </w:r>
      <w:r>
        <w:rPr>
          <w:rFonts w:cs="Tahoma" w:ascii="Tahoma" w:hAnsi="Tahoma"/>
          <w:sz w:val="20"/>
          <w:szCs w:val="20"/>
          <w:shd w:fill="auto" w:val="clear"/>
          <w:lang w:eastAsia="en-US"/>
        </w:rPr>
        <w:t>.</w:t>
      </w:r>
    </w:p>
    <w:p>
      <w:pPr>
        <w:pStyle w:val="Normal"/>
        <w:ind w:hanging="0" w:left="426" w:right="0"/>
        <w:jc w:val="both"/>
        <w:rPr>
          <w:rFonts w:ascii="Tahoma" w:hAnsi="Tahoma" w:cs="Tahoma"/>
          <w:lang w:eastAsia="en-US"/>
        </w:rPr>
      </w:pPr>
      <w:r>
        <w:rPr>
          <w:rFonts w:cs="Tahoma" w:ascii="Tahoma" w:hAnsi="Tahoma"/>
          <w:lang w:eastAsia="en-US"/>
        </w:rPr>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LUGAR Y PLAZO DE PRESTACIÓN DEL SERVICIO DE CONSULTORÍA</w:t>
      </w:r>
    </w:p>
    <w:p>
      <w:pPr>
        <w:pStyle w:val="NoSpacing"/>
        <w:ind w:hanging="0" w:left="426" w:right="0"/>
        <w:jc w:val="both"/>
        <w:rPr>
          <w:sz w:val="20"/>
          <w:szCs w:val="20"/>
          <w:shd w:fill="auto" w:val="clear"/>
        </w:rPr>
      </w:pPr>
      <w:r>
        <w:rPr>
          <w:rFonts w:cs="Tahoma" w:ascii="Tahoma" w:hAnsi="Tahoma"/>
          <w:sz w:val="20"/>
          <w:szCs w:val="20"/>
          <w:shd w:fill="auto" w:val="clear"/>
        </w:rPr>
        <w:t xml:space="preserve">El consultor desarrollará sus actividades con dedicación exclusiva a la institución en las instalaciones de la Oficina del Departamento Jurídico y de Cobranza Coactiva de la Gerencia </w:t>
      </w:r>
      <w:r>
        <w:rPr>
          <w:rFonts w:cs="Tahoma" w:ascii="Tahoma" w:hAnsi="Tahoma"/>
          <w:b/>
          <w:sz w:val="20"/>
          <w:szCs w:val="20"/>
          <w:shd w:fill="auto" w:val="clear"/>
        </w:rPr>
        <w:t>Distrital Montero</w:t>
      </w:r>
      <w:r>
        <w:rPr>
          <w:rFonts w:cs="Tahoma" w:ascii="Tahoma" w:hAnsi="Tahoma"/>
          <w:sz w:val="20"/>
          <w:szCs w:val="20"/>
          <w:shd w:fill="auto" w:val="clear"/>
        </w:rPr>
        <w:t xml:space="preserve">, del SIN ubicada en </w:t>
      </w:r>
      <w:r>
        <w:rPr>
          <w:rFonts w:cs="Tahoma" w:ascii="Tahoma" w:hAnsi="Tahoma"/>
          <w:b/>
          <w:bCs/>
          <w:sz w:val="20"/>
          <w:szCs w:val="20"/>
          <w:shd w:fill="auto" w:val="clear"/>
          <w:lang w:val="es-BO"/>
        </w:rPr>
        <w:t>calle Arenales esquina calle Mariscal Santa Cruz, edificio Shopping Vizur 1er piso</w:t>
      </w:r>
      <w:r>
        <w:rPr>
          <w:rFonts w:cs="Tahoma" w:ascii="Tahoma" w:hAnsi="Tahoma"/>
          <w:b w:val="false"/>
          <w:bCs w:val="false"/>
          <w:sz w:val="20"/>
          <w:szCs w:val="20"/>
          <w:shd w:fill="auto" w:val="clear"/>
          <w:lang w:val="es-BO"/>
        </w:rPr>
        <w:t>.</w:t>
      </w:r>
    </w:p>
    <w:p>
      <w:pPr>
        <w:pStyle w:val="NoSpacing"/>
        <w:ind w:hanging="0" w:left="426" w:right="0"/>
        <w:jc w:val="both"/>
        <w:rPr>
          <w:rFonts w:ascii="Tahoma" w:hAnsi="Tahoma" w:cs="Tahoma"/>
          <w:sz w:val="20"/>
          <w:szCs w:val="20"/>
          <w:shd w:fill="auto" w:val="clear"/>
        </w:rPr>
      </w:pPr>
      <w:r>
        <w:rPr>
          <w:rFonts w:cs="Tahoma" w:ascii="Tahoma" w:hAnsi="Tahoma"/>
          <w:sz w:val="20"/>
          <w:szCs w:val="20"/>
          <w:shd w:fill="auto" w:val="clear"/>
        </w:rPr>
      </w:r>
    </w:p>
    <w:p>
      <w:pPr>
        <w:pStyle w:val="NoSpacing"/>
        <w:widowControl/>
        <w:suppressAutoHyphens w:val="true"/>
        <w:bidi w:val="0"/>
        <w:spacing w:before="0" w:after="0"/>
        <w:ind w:hanging="0" w:left="454" w:right="0"/>
        <w:jc w:val="both"/>
        <w:rPr>
          <w:rFonts w:ascii="Tahoma" w:hAnsi="Tahoma" w:cs="Tahoma"/>
          <w:sz w:val="20"/>
          <w:szCs w:val="20"/>
          <w:shd w:fill="auto" w:val="clear"/>
          <w:lang w:val="es-MX"/>
        </w:rPr>
      </w:pPr>
      <w:r>
        <w:rPr>
          <w:rFonts w:cs="Tahoma" w:ascii="Tahoma" w:hAnsi="Tahoma"/>
          <w:sz w:val="20"/>
          <w:szCs w:val="20"/>
          <w:shd w:fill="auto" w:val="clear"/>
          <w:lang w:val="es-MX"/>
        </w:rPr>
        <w:t xml:space="preserve">El horario de trabajo al que estará sujeto el consultor o consultora estará establecido por la Entidad; de lunes a viernes mismo que deberá cumplir las 8 horas laborales por día. </w:t>
      </w:r>
    </w:p>
    <w:p>
      <w:pPr>
        <w:pStyle w:val="NoSpacing"/>
        <w:ind w:hanging="0" w:left="426" w:right="0"/>
        <w:jc w:val="both"/>
        <w:rPr>
          <w:rFonts w:ascii="Tahoma" w:hAnsi="Tahoma" w:cs="Tahoma"/>
          <w:sz w:val="20"/>
          <w:szCs w:val="20"/>
          <w:shd w:fill="auto" w:val="clear"/>
          <w:lang w:val="es-MX"/>
        </w:rPr>
      </w:pPr>
      <w:r>
        <w:rPr>
          <w:rFonts w:cs="Tahoma" w:ascii="Tahoma" w:hAnsi="Tahoma"/>
          <w:sz w:val="20"/>
          <w:szCs w:val="20"/>
          <w:shd w:fill="auto" w:val="clear"/>
          <w:lang w:val="es-MX"/>
        </w:rPr>
      </w:r>
    </w:p>
    <w:p>
      <w:pPr>
        <w:pStyle w:val="Normal"/>
        <w:widowControl/>
        <w:suppressAutoHyphens w:val="true"/>
        <w:bidi w:val="0"/>
        <w:spacing w:before="0" w:after="0"/>
        <w:ind w:hanging="0" w:left="454" w:right="0"/>
        <w:jc w:val="both"/>
        <w:rPr>
          <w:sz w:val="20"/>
          <w:szCs w:val="20"/>
          <w:shd w:fill="auto" w:val="clear"/>
        </w:rPr>
      </w:pPr>
      <w:r>
        <w:rPr>
          <w:rFonts w:cs="Tahoma" w:ascii="Tahoma" w:hAnsi="Tahoma"/>
          <w:sz w:val="20"/>
          <w:szCs w:val="20"/>
          <w:shd w:fill="auto" w:val="clear"/>
          <w:lang w:val="es-MX"/>
        </w:rPr>
        <w:t xml:space="preserve">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w:t>
      </w:r>
      <w:r>
        <w:rPr>
          <w:rFonts w:eastAsia="DejaVu Sans" w:cs="Tahoma" w:ascii="Tahoma" w:hAnsi="Tahoma"/>
          <w:color w:val="000000"/>
          <w:kern w:val="0"/>
          <w:sz w:val="20"/>
          <w:szCs w:val="20"/>
          <w:shd w:fill="auto" w:val="clear"/>
          <w:lang w:val="es-MX" w:eastAsia="es-ES" w:bidi="ar-SA"/>
        </w:rPr>
        <w:t>inasistencia y ausencia</w:t>
      </w:r>
      <w:r>
        <w:rPr>
          <w:rFonts w:cs="Tahoma" w:ascii="Tahoma" w:hAnsi="Tahoma"/>
          <w:sz w:val="20"/>
          <w:szCs w:val="20"/>
          <w:shd w:fill="auto" w:val="clear"/>
          <w:lang w:val="es-MX"/>
        </w:rPr>
        <w:t xml:space="preserve"> de acuerdo a las cláusulas del contrato.</w:t>
      </w:r>
    </w:p>
    <w:p>
      <w:pPr>
        <w:pStyle w:val="NoSpacing"/>
        <w:ind w:hanging="0" w:left="426" w:right="0"/>
        <w:jc w:val="both"/>
        <w:rPr>
          <w:rFonts w:ascii="Tahoma" w:hAnsi="Tahoma" w:cs="Tahoma"/>
          <w:bCs/>
          <w:color w:val="000000"/>
          <w:sz w:val="20"/>
          <w:szCs w:val="20"/>
          <w:shd w:fill="auto" w:val="clear"/>
        </w:rPr>
      </w:pPr>
      <w:r>
        <w:rPr>
          <w:rFonts w:cs="Tahoma" w:ascii="Tahoma" w:hAnsi="Tahoma"/>
          <w:bCs/>
          <w:color w:val="000000"/>
          <w:sz w:val="20"/>
          <w:szCs w:val="20"/>
          <w:shd w:fill="auto" w:val="clear"/>
        </w:rPr>
      </w:r>
    </w:p>
    <w:p>
      <w:pPr>
        <w:pStyle w:val="NoSpacing"/>
        <w:widowControl/>
        <w:suppressAutoHyphens w:val="true"/>
        <w:bidi w:val="0"/>
        <w:spacing w:before="0" w:after="0"/>
        <w:ind w:hanging="0" w:left="454" w:right="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widowControl/>
        <w:suppressAutoHyphens w:val="true"/>
        <w:bidi w:val="0"/>
        <w:spacing w:before="0" w:after="0"/>
        <w:ind w:hanging="0" w:left="454" w:right="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Spacing"/>
        <w:widowControl/>
        <w:suppressAutoHyphens w:val="true"/>
        <w:bidi w:val="0"/>
        <w:spacing w:before="0" w:after="0"/>
        <w:ind w:hanging="0" w:left="454" w:right="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En caso de que corresponda se podrá aplicar el Teletrabajo según lo establecido en el D.S. 4570</w:t>
      </w:r>
    </w:p>
    <w:p>
      <w:pPr>
        <w:pStyle w:val="NoSpacing"/>
        <w:widowControl/>
        <w:suppressAutoHyphens w:val="true"/>
        <w:bidi w:val="0"/>
        <w:spacing w:before="0" w:after="0"/>
        <w:ind w:hanging="0" w:left="454" w:right="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Spacing"/>
        <w:widowControl/>
        <w:suppressAutoHyphens w:val="true"/>
        <w:bidi w:val="0"/>
        <w:spacing w:before="0" w:after="0"/>
        <w:ind w:hanging="0" w:left="454" w:right="0"/>
        <w:jc w:val="both"/>
        <w:rPr>
          <w:rFonts w:ascii="Tahoma" w:hAnsi="Tahoma" w:cs="Tahoma"/>
          <w:color w:val="000000"/>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t xml:space="preserve">Las contrataciones se realizarán en base a las necesidad y seguimiento de la Gerencia y de acuerdo a lo establecido en el D.S. 0181. </w:t>
      </w:r>
    </w:p>
    <w:p>
      <w:pPr>
        <w:pStyle w:val="Normal"/>
        <w:ind w:hanging="0" w:left="426" w:right="0"/>
        <w:jc w:val="both"/>
        <w:rPr>
          <w:rFonts w:ascii="Tahoma" w:hAnsi="Tahoma" w:cs="Tahoma"/>
          <w:color w:val="auto"/>
          <w:kern w:val="0"/>
          <w:sz w:val="20"/>
          <w:szCs w:val="20"/>
          <w:shd w:fill="auto" w:val="clear"/>
          <w:lang w:val="es-MX" w:eastAsia="es-ES" w:bidi="ar-SA"/>
        </w:rPr>
      </w:pPr>
      <w:r>
        <w:rPr>
          <w:rFonts w:cs="Tahoma" w:ascii="Tahoma" w:hAnsi="Tahoma"/>
          <w:color w:val="000000"/>
          <w:kern w:val="0"/>
          <w:sz w:val="20"/>
          <w:szCs w:val="20"/>
          <w:shd w:fill="auto" w:val="clear"/>
          <w:lang w:val="es-MX" w:eastAsia="es-ES" w:bidi="ar-SA"/>
        </w:rPr>
      </w:r>
    </w:p>
    <w:p>
      <w:pPr>
        <w:pStyle w:val="Normal"/>
        <w:ind w:hanging="0" w:left="426" w:right="0"/>
        <w:jc w:val="both"/>
        <w:rPr>
          <w:sz w:val="20"/>
          <w:szCs w:val="20"/>
          <w:shd w:fill="auto" w:val="clear"/>
        </w:rPr>
      </w:pPr>
      <w:r>
        <w:rPr>
          <w:rFonts w:cs="Tahoma" w:ascii="Tahoma" w:hAnsi="Tahoma"/>
          <w:color w:val="000000"/>
          <w:kern w:val="0"/>
          <w:sz w:val="20"/>
          <w:szCs w:val="20"/>
          <w:shd w:fill="auto" w:val="clear"/>
          <w:lang w:val="es-MX" w:eastAsia="es-ES" w:bidi="ar-SA"/>
        </w:rPr>
        <w:t xml:space="preserve">El plazo para la prestación de la CONSULTORÍA, será </w:t>
      </w:r>
      <w:r>
        <w:rPr>
          <w:rFonts w:cs="Tahoma" w:ascii="Tahoma" w:hAnsi="Tahoma"/>
          <w:b/>
          <w:bCs/>
          <w:color w:val="000000"/>
          <w:kern w:val="0"/>
          <w:sz w:val="20"/>
          <w:szCs w:val="20"/>
          <w:shd w:fill="auto" w:val="clear"/>
          <w:lang w:val="es-ES" w:eastAsia="es-ES" w:bidi="ar-SA"/>
        </w:rPr>
        <w:t>a partir del día siguiente hábil de la suscripción del contrato hasta el 31 de diciembre de 2026.</w:t>
      </w:r>
    </w:p>
    <w:p>
      <w:pPr>
        <w:pStyle w:val="Normal"/>
        <w:ind w:hanging="0" w:left="426" w:right="0"/>
        <w:jc w:val="both"/>
        <w:rPr>
          <w:rFonts w:ascii="Tahoma" w:hAnsi="Tahoma" w:cs="Tahoma"/>
          <w:b/>
          <w:bCs/>
          <w:color w:val="000000"/>
          <w:kern w:val="0"/>
          <w:lang w:val="es-ES" w:eastAsia="es-ES" w:bidi="ar-SA"/>
        </w:rPr>
      </w:pPr>
      <w:r>
        <w:rPr>
          <w:rFonts w:cs="Tahoma" w:ascii="Tahoma" w:hAnsi="Tahoma"/>
          <w:b/>
          <w:bCs/>
          <w:color w:val="000000"/>
          <w:kern w:val="0"/>
          <w:lang w:val="es-ES" w:eastAsia="es-ES" w:bidi="ar-SA"/>
        </w:rPr>
      </w:r>
    </w:p>
    <w:p>
      <w:pPr>
        <w:pStyle w:val="Heading1"/>
        <w:keepNext w:val="false"/>
        <w:keepLines w:val="false"/>
        <w:numPr>
          <w:ilvl w:val="0"/>
          <w:numId w:val="1"/>
        </w:numPr>
        <w:pBdr>
          <w:bottom w:val="single" w:sz="12" w:space="1" w:color="365F91"/>
        </w:pBdr>
        <w:spacing w:before="120" w:after="120"/>
        <w:ind w:hanging="0" w:left="284" w:right="0"/>
        <w:jc w:val="both"/>
        <w:rPr>
          <w:shd w:fill="auto" w:val="clear"/>
        </w:rPr>
      </w:pPr>
      <w:r>
        <w:rPr>
          <w:rFonts w:cs="Tahoma"/>
          <w:sz w:val="20"/>
          <w:szCs w:val="20"/>
          <w:shd w:fill="auto" w:val="clear"/>
          <w:lang w:val="es-BO"/>
        </w:rPr>
        <w:t xml:space="preserve"> </w:t>
      </w:r>
      <w:r>
        <w:rPr>
          <w:rFonts w:cs="Tahoma"/>
          <w:sz w:val="20"/>
          <w:szCs w:val="20"/>
          <w:shd w:fill="auto" w:val="clear"/>
          <w:lang w:val="es-BO"/>
        </w:rPr>
        <w:t>MONTO Y FORMA DE PAGO.</w:t>
      </w:r>
    </w:p>
    <w:p>
      <w:pPr>
        <w:pStyle w:val="Normal"/>
        <w:spacing w:before="120" w:after="120"/>
        <w:ind w:hanging="0" w:left="567" w:right="0"/>
        <w:jc w:val="both"/>
        <w:rPr/>
      </w:pPr>
      <w:r>
        <w:rPr>
          <w:rFonts w:cs="Tahoma" w:ascii="Tahoma" w:hAnsi="Tahoma"/>
          <w:color w:val="000000"/>
          <w:sz w:val="20"/>
          <w:szCs w:val="20"/>
          <w:shd w:fill="auto" w:val="clear"/>
          <w:lang w:val="es-BO"/>
        </w:rPr>
        <w:t xml:space="preserve">Por </w:t>
      </w:r>
      <w:r>
        <w:rPr>
          <w:rFonts w:eastAsia="DejaVu Sans" w:cs="Tahoma" w:ascii="Tahoma" w:hAnsi="Tahoma"/>
          <w:color w:val="000000"/>
          <w:kern w:val="0"/>
          <w:sz w:val="20"/>
          <w:szCs w:val="20"/>
          <w:shd w:fill="auto" w:val="clear"/>
          <w:lang w:val="es-BO" w:eastAsia="es-ES" w:bidi="ar-SA"/>
        </w:rPr>
        <w:t>la</w:t>
      </w:r>
      <w:r>
        <w:rPr>
          <w:rFonts w:cs="Tahoma" w:ascii="Tahoma" w:hAnsi="Tahoma"/>
          <w:color w:val="000000"/>
          <w:sz w:val="20"/>
          <w:szCs w:val="20"/>
          <w:shd w:fill="auto" w:val="clear"/>
          <w:lang w:val="es-BO"/>
        </w:rPr>
        <w:t xml:space="preserve"> consultoría de línea se pagará en forma mensual el monto de </w:t>
      </w:r>
      <w:r>
        <w:rPr>
          <w:rFonts w:cs="Tahoma" w:ascii="Tahoma" w:hAnsi="Tahoma"/>
          <w:b/>
          <w:i/>
          <w:color w:val="000000"/>
          <w:sz w:val="20"/>
          <w:szCs w:val="20"/>
          <w:shd w:fill="auto" w:val="clear"/>
          <w:lang w:val="es-BO"/>
        </w:rPr>
        <w:t xml:space="preserve">Bs 6.337,00 </w:t>
      </w:r>
      <w:r>
        <w:rPr>
          <w:rFonts w:cs="Tahoma" w:ascii="Tahoma" w:hAnsi="Tahoma"/>
          <w:i/>
          <w:color w:val="000000"/>
          <w:sz w:val="20"/>
          <w:szCs w:val="20"/>
          <w:shd w:fill="auto" w:val="clear"/>
          <w:lang w:val="es-BO"/>
        </w:rPr>
        <w:t xml:space="preserve">(Seis Mil Trescientos Treinta y Siete 00/100 bolivianos) </w:t>
      </w:r>
      <w:r>
        <w:rPr>
          <w:rFonts w:cs="Tahoma" w:ascii="Tahoma" w:hAnsi="Tahoma"/>
          <w:color w:val="000000"/>
          <w:sz w:val="20"/>
          <w:szCs w:val="20"/>
          <w:shd w:fill="auto" w:val="clear"/>
          <w:lang w:val="es-BO"/>
        </w:rPr>
        <w:t xml:space="preserve">que corresponde al cargo </w:t>
      </w:r>
      <w:r>
        <w:rPr>
          <w:rFonts w:cs="Tahoma" w:ascii="Tahoma" w:hAnsi="Tahoma"/>
          <w:b/>
          <w:bCs/>
          <w:i/>
          <w:iCs/>
          <w:color w:val="000000"/>
          <w:sz w:val="20"/>
          <w:szCs w:val="20"/>
          <w:shd w:fill="auto" w:val="clear"/>
          <w:lang w:val="es-BO"/>
        </w:rPr>
        <w:t xml:space="preserve">CONSULTOR </w:t>
      </w:r>
      <w:r>
        <w:rPr>
          <w:rFonts w:cs="Tahoma" w:ascii="Tahoma" w:hAnsi="Tahoma"/>
          <w:b/>
          <w:i/>
          <w:color w:val="000000"/>
          <w:sz w:val="20"/>
          <w:szCs w:val="20"/>
          <w:shd w:fill="auto" w:val="clear"/>
          <w:lang w:val="es-BO"/>
        </w:rPr>
        <w:t xml:space="preserve">TÉCNICO I </w:t>
      </w:r>
      <w:r>
        <w:rPr>
          <w:rFonts w:cs="Tahoma" w:ascii="Tahoma" w:hAnsi="Tahoma"/>
          <w:sz w:val="20"/>
          <w:szCs w:val="20"/>
          <w:shd w:fill="auto" w:val="clear"/>
          <w:lang w:val="es-BO"/>
        </w:rPr>
        <w:t>y a prorrata día cuando corresponda, de acuerdo a lo establecido en el cuadro</w:t>
      </w:r>
      <w:r>
        <w:rPr>
          <w:rFonts w:cs="Tahoma" w:ascii="Tahoma" w:hAnsi="Tahoma"/>
          <w:sz w:val="20"/>
          <w:szCs w:val="20"/>
          <w:shd w:fill="F6F9D4" w:val="clear"/>
          <w:lang w:val="es-BO"/>
        </w:rPr>
        <w:t xml:space="preserve"> </w:t>
      </w:r>
      <w:r>
        <w:rPr>
          <w:rFonts w:cs="Tahoma" w:ascii="Tahoma" w:hAnsi="Tahoma"/>
          <w:sz w:val="20"/>
          <w:szCs w:val="20"/>
          <w:shd w:fill="auto" w:val="clear"/>
          <w:lang w:val="es-BO"/>
        </w:rPr>
        <w:t>de equivalencias de funciones y requisitos para consultores individuales de línea vigente</w:t>
      </w:r>
      <w:r>
        <w:rPr>
          <w:rFonts w:cs="Tahoma" w:ascii="Tahoma" w:hAnsi="Tahoma"/>
          <w:color w:val="000000"/>
          <w:sz w:val="20"/>
          <w:szCs w:val="20"/>
          <w:shd w:fill="auto" w:val="clear"/>
          <w:lang w:val="es-BO"/>
        </w:rPr>
        <w:t xml:space="preserve">. Cada pago se hará previa presentación del "Informe Mensual de Actividades", </w:t>
      </w:r>
      <w:r>
        <w:rPr>
          <w:rStyle w:val="CharStyle9"/>
          <w:rFonts w:cs="Tahoma" w:ascii="Tahoma" w:hAnsi="Tahoma"/>
          <w:color w:val="000000"/>
          <w:sz w:val="20"/>
          <w:szCs w:val="20"/>
          <w:shd w:fill="auto" w:val="clear"/>
          <w:lang w:val="es-BO"/>
        </w:rPr>
        <w:t>aprobado y</w:t>
      </w:r>
      <w:r>
        <w:rPr>
          <w:rStyle w:val="CharStyle9"/>
          <w:rFonts w:cs="Tahoma" w:ascii="Tahoma" w:hAnsi="Tahoma"/>
          <w:color w:val="000000"/>
          <w:sz w:val="20"/>
          <w:szCs w:val="20"/>
          <w:shd w:fill="F6F9D4" w:val="clear"/>
          <w:lang w:val="es-BO"/>
        </w:rPr>
        <w:t xml:space="preserve"> </w:t>
      </w:r>
      <w:r>
        <w:rPr>
          <w:rFonts w:eastAsia="Times New Roman" w:cs="Tahoma" w:ascii="Tahoma" w:hAnsi="Tahoma"/>
          <w:sz w:val="20"/>
          <w:szCs w:val="20"/>
          <w:shd w:fill="auto" w:val="clear"/>
          <w:lang w:val="es-BO"/>
        </w:rPr>
        <w:t>adjuntando fotocopia del formulario de pago de contribuciones al Sistema de Pensiones como Asegurado y fotocopia de declaración jurada trimestral de pago de impuestos cuando corresponda.</w:t>
      </w:r>
    </w:p>
    <w:p>
      <w:pPr>
        <w:pStyle w:val="ListParagraph"/>
        <w:numPr>
          <w:ilvl w:val="0"/>
          <w:numId w:val="10"/>
        </w:numPr>
        <w:spacing w:lineRule="auto" w:line="276" w:before="0" w:after="57"/>
        <w:ind w:hanging="426" w:left="993" w:right="0"/>
        <w:jc w:val="both"/>
        <w:rPr/>
      </w:pPr>
      <w:r>
        <w:rPr>
          <w:rFonts w:eastAsia="Times New Roman" w:cs="Tahoma" w:ascii="Tahoma" w:hAnsi="Tahoma"/>
          <w:sz w:val="20"/>
          <w:szCs w:val="20"/>
          <w:shd w:fill="auto" w:val="clear"/>
          <w:lang w:val="es-BO"/>
        </w:rPr>
        <w:t xml:space="preserve">Asimismo, el último pago se efectuará previa presentación del “Informe Mensual de Actividades”, “Informe Final de </w:t>
      </w:r>
      <w:r>
        <w:rPr>
          <w:rFonts w:cs="Tahoma" w:ascii="Tahoma" w:hAnsi="Tahoma"/>
          <w:sz w:val="20"/>
          <w:szCs w:val="20"/>
          <w:shd w:fill="auto" w:val="clear"/>
          <w:lang w:val="en-US"/>
        </w:rPr>
        <w:t>Actividades”</w:t>
      </w:r>
      <w:r>
        <w:rPr>
          <w:rFonts w:eastAsia="Times New Roman" w:cs="Tahoma" w:ascii="Tahoma" w:hAnsi="Tahoma"/>
          <w:sz w:val="20"/>
          <w:szCs w:val="20"/>
          <w:shd w:fill="auto" w:val="clear"/>
          <w:lang w:val="es-BO"/>
        </w:rPr>
        <w:t xml:space="preserve"> del CONSULTOR e Informe de Conformidad emitido por el Responsable de Recepción el cual deberá verificar el cumplimiento de la consultoría realizada, así como  la presentación del </w:t>
      </w:r>
      <w:r>
        <w:rPr>
          <w:rFonts w:cs="Tahoma" w:ascii="Tahoma" w:hAnsi="Tahoma"/>
          <w:sz w:val="20"/>
          <w:szCs w:val="20"/>
          <w:shd w:fill="auto" w:val="clear"/>
        </w:rPr>
        <w:t xml:space="preserve">Formulario de Finalización de </w:t>
      </w:r>
      <w:r>
        <w:rPr>
          <w:rFonts w:cs="Tahoma" w:ascii="Tahoma" w:hAnsi="Tahoma"/>
          <w:sz w:val="20"/>
          <w:szCs w:val="20"/>
          <w:shd w:fill="auto" w:val="clear"/>
          <w:lang w:val="en-US"/>
        </w:rPr>
        <w:t>Relación Contractual</w:t>
      </w:r>
      <w:r>
        <w:rPr>
          <w:rFonts w:eastAsia="Times New Roman" w:cs="Tahoma" w:ascii="Tahoma" w:hAnsi="Tahoma"/>
          <w:sz w:val="20"/>
          <w:szCs w:val="20"/>
          <w:shd w:fill="auto" w:val="clear"/>
          <w:lang w:val="es-BO"/>
        </w:rPr>
        <w:t>.</w:t>
      </w:r>
      <w:r>
        <w:rPr>
          <w:rFonts w:eastAsia="Times New Roman" w:cs="Tahoma" w:ascii="Tahoma" w:hAnsi="Tahoma"/>
          <w:bCs/>
          <w:sz w:val="20"/>
          <w:szCs w:val="20"/>
          <w:shd w:fill="auto" w:val="clear"/>
          <w:lang w:val="es-BO" w:eastAsia="es-BO"/>
        </w:rPr>
        <w:t xml:space="preserve"> </w:t>
      </w:r>
    </w:p>
    <w:p>
      <w:pPr>
        <w:pStyle w:val="ListParagraph"/>
        <w:spacing w:before="0" w:after="40"/>
        <w:ind w:hanging="1" w:left="567" w:right="0"/>
        <w:jc w:val="both"/>
        <w:rPr>
          <w:rFonts w:ascii="Tahoma" w:hAnsi="Tahoma" w:cs="Tahoma"/>
          <w:sz w:val="20"/>
          <w:szCs w:val="20"/>
          <w:shd w:fill="auto" w:val="clear"/>
          <w:lang w:val="es-MX"/>
        </w:rPr>
      </w:pPr>
      <w:r>
        <w:rPr>
          <w:rFonts w:cs="Tahoma" w:ascii="Tahoma" w:hAnsi="Tahoma"/>
          <w:sz w:val="20"/>
          <w:szCs w:val="20"/>
          <w:shd w:fill="auto" w:val="clear"/>
          <w:lang w:val="es-MX"/>
        </w:rPr>
        <w:t>El pago que se efectivizará a través del Sistema de Gestión Pública (SIGEP), en moneda nacional directamente al consultor, mediante depósito bancario a su cuenta habilitada para dicho efecto.</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u w:val="none"/>
          <w:shd w:fill="auto" w:val="clear"/>
          <w:lang w:val="es-BO"/>
        </w:rPr>
      </w:pPr>
      <w:r>
        <w:rPr>
          <w:rFonts w:cs="Tahoma"/>
          <w:sz w:val="20"/>
          <w:szCs w:val="20"/>
          <w:u w:val="none"/>
          <w:shd w:fill="auto" w:val="clear"/>
          <w:lang w:val="es-BO"/>
        </w:rPr>
        <w:t>PAGO APORTES AL SISTEMA INTEGRAL DE PENSIONES E IMPUESTOS</w:t>
      </w:r>
    </w:p>
    <w:p>
      <w:pPr>
        <w:pStyle w:val="ListParagraph"/>
        <w:widowControl/>
        <w:suppressAutoHyphens w:val="true"/>
        <w:bidi w:val="0"/>
        <w:spacing w:lineRule="auto" w:line="240"/>
        <w:ind w:hanging="0" w:left="397" w:right="0"/>
        <w:jc w:val="both"/>
        <w:rPr/>
      </w:pPr>
      <w:r>
        <w:rPr>
          <w:rStyle w:val="CharStyle9"/>
          <w:rFonts w:eastAsia="Calibri" w:cs="Tahoma" w:ascii="Tahoma" w:hAnsi="Tahoma"/>
          <w:bCs/>
          <w:color w:val="000000"/>
          <w:sz w:val="20"/>
          <w:szCs w:val="20"/>
          <w:shd w:fill="auto" w:val="clear"/>
          <w:lang w:val="ar-SA" w:eastAsia="es-ES_tradnl" w:bidi="ar-SA"/>
        </w:rPr>
        <w:t>De acuerdo a lo previsto en el Art. 101 de la ley Nro.</w:t>
      </w:r>
      <w:r>
        <w:rPr>
          <w:rStyle w:val="CharStyle9"/>
          <w:rFonts w:eastAsia="Calibri" w:cs="Tahoma" w:ascii="Tahoma" w:hAnsi="Tahoma"/>
          <w:color w:val="000000"/>
          <w:sz w:val="20"/>
          <w:szCs w:val="20"/>
          <w:shd w:fill="auto" w:val="clear"/>
          <w:lang w:val="ar-SA" w:eastAsia="es-ES_tradnl" w:bidi="ar-SA"/>
        </w:rPr>
        <w:t xml:space="preserve"> 65 de Pensiones de 10 de diciembre de 2010, el consultor deberá contribuir al sistema de Pensiones como Asegurado Independiente, pagando el aporte del Asegurado, el Aporte Solidario, la prima por Riesgo Común, prima por Riesgo Laboral y Comisiones</w:t>
      </w:r>
      <w:r>
        <w:rPr>
          <w:rStyle w:val="CharStyle9"/>
          <w:rFonts w:eastAsia="Calibri" w:cs="Tahoma" w:ascii="Tahoma" w:hAnsi="Tahoma"/>
          <w:color w:val="000000"/>
          <w:sz w:val="20"/>
          <w:szCs w:val="20"/>
          <w:shd w:fill="auto" w:val="clear"/>
          <w:lang w:val="es-BO" w:eastAsia="es-ES_tradnl" w:bidi="ar-SA"/>
        </w:rPr>
        <w:t>. Documento que deberá ser presentado en el informe mensual de pago debidamente validado por el personal a cargo</w:t>
      </w:r>
      <w:r>
        <w:rPr>
          <w:rStyle w:val="CharStyle9"/>
          <w:rFonts w:cs="Tahoma" w:ascii="Tahoma" w:hAnsi="Tahoma"/>
          <w:color w:val="000000"/>
          <w:sz w:val="20"/>
          <w:szCs w:val="20"/>
          <w:shd w:fill="auto" w:val="clear"/>
          <w:lang w:val="es-BO" w:eastAsia="es-ES_tradnl" w:bidi="ar-SA"/>
        </w:rPr>
        <w:t xml:space="preserve"> de Administrativo y Recursos Humanos en la</w:t>
      </w:r>
      <w:r>
        <w:rPr>
          <w:rStyle w:val="CharStyle9"/>
          <w:rFonts w:eastAsia="Calibri" w:cs="Tahoma" w:ascii="Tahoma" w:hAnsi="Tahoma"/>
          <w:color w:val="000000"/>
          <w:sz w:val="20"/>
          <w:szCs w:val="20"/>
          <w:shd w:fill="auto" w:val="clear"/>
          <w:lang w:val="es-BO" w:eastAsia="es-ES_tradnl" w:bidi="ar-SA"/>
        </w:rPr>
        <w:t xml:space="preserve"> Gerencia Distrital Montero.</w:t>
      </w:r>
    </w:p>
    <w:p>
      <w:pPr>
        <w:pStyle w:val="ListParagraph"/>
        <w:spacing w:lineRule="auto" w:line="240"/>
        <w:ind w:hanging="0" w:left="360" w:right="0"/>
        <w:jc w:val="both"/>
        <w:rPr>
          <w:rFonts w:ascii="Tahoma" w:hAnsi="Tahoma" w:eastAsia="Calibri" w:cs="Tahoma"/>
          <w:color w:val="000000"/>
          <w:sz w:val="20"/>
          <w:szCs w:val="20"/>
          <w:shd w:fill="auto" w:val="clear"/>
          <w:lang w:val="ar-SA" w:eastAsia="es-ES_tradnl" w:bidi="ar-SA"/>
        </w:rPr>
      </w:pPr>
      <w:r>
        <w:rPr>
          <w:rFonts w:eastAsia="Calibri" w:cs="Tahoma" w:ascii="Tahoma" w:hAnsi="Tahoma"/>
          <w:color w:val="000000"/>
          <w:sz w:val="20"/>
          <w:szCs w:val="20"/>
          <w:shd w:fill="auto" w:val="clear"/>
          <w:lang w:val="ar-SA" w:eastAsia="es-ES_tradnl" w:bidi="ar-SA"/>
        </w:rPr>
      </w:r>
    </w:p>
    <w:p>
      <w:pPr>
        <w:pStyle w:val="Normal"/>
        <w:widowControl/>
        <w:suppressAutoHyphens w:val="true"/>
        <w:bidi w:val="0"/>
        <w:ind w:hanging="0" w:left="397" w:right="0"/>
        <w:jc w:val="both"/>
        <w:rPr/>
      </w:pPr>
      <w:r>
        <w:rPr>
          <w:rStyle w:val="CharStyle9"/>
          <w:rFonts w:eastAsia="Calibri" w:cs="Tahoma" w:ascii="Tahoma" w:hAnsi="Tahoma"/>
          <w:color w:val="000000"/>
          <w:sz w:val="20"/>
          <w:szCs w:val="20"/>
          <w:shd w:fill="auto" w:val="clear"/>
          <w:lang w:val="ar-SA" w:eastAsia="es-ES_tradnl" w:bidi="ar-SA"/>
        </w:rPr>
        <w:t>El consultor deberá presentar el Certificado de Inscripción en el Régimen Complementario al Impuesto al Valor Agregado como Contribuyente Directo (RC-IVA), y una fotocopia de su declaración trimestral cuando corresponda.</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PROPIEDAD DE LOS MATERIALES Y ACUERDO DE CONFIDENCIALIDAD</w:t>
      </w:r>
    </w:p>
    <w:p>
      <w:pPr>
        <w:pStyle w:val="BodyTextIndent3"/>
        <w:widowControl/>
        <w:suppressAutoHyphens w:val="true"/>
        <w:bidi w:val="0"/>
        <w:spacing w:before="0" w:after="120"/>
        <w:ind w:hanging="0" w:left="454" w:right="0"/>
        <w:jc w:val="both"/>
        <w:rPr>
          <w:sz w:val="20"/>
          <w:szCs w:val="20"/>
          <w:shd w:fill="auto" w:val="clear"/>
        </w:rPr>
      </w:pPr>
      <w:r>
        <w:rPr>
          <w:rFonts w:cs="Tahoma" w:ascii="Tahoma" w:hAnsi="Tahoma"/>
          <w:sz w:val="20"/>
          <w:szCs w:val="20"/>
          <w:shd w:fill="auto" w:val="clear"/>
          <w:lang w:val="es-BO"/>
        </w:rPr>
        <w:t>Todos los documentos elaborados o emitidos, como ser notas, informes escritos, resoluciones, gráficos, medios magnéticos u otros materiales producidos por el</w:t>
      </w:r>
      <w:r>
        <w:rPr>
          <w:rFonts w:cs="Tahoma" w:ascii="Tahoma" w:hAnsi="Tahoma"/>
          <w:sz w:val="20"/>
          <w:szCs w:val="20"/>
          <w:shd w:fill="auto" w:val="clear"/>
          <w:lang w:val="es-MX"/>
        </w:rPr>
        <w:t xml:space="preserve"> consultor o consultora bajo los términos del contrato y otras </w:t>
      </w:r>
      <w:r>
        <w:rPr>
          <w:rFonts w:cs="Tahoma" w:ascii="Tahoma" w:hAnsi="Tahoma"/>
          <w:sz w:val="20"/>
          <w:szCs w:val="20"/>
          <w:shd w:fill="auto" w:val="clear"/>
          <w:lang w:val="es-BO"/>
        </w:rPr>
        <w:t xml:space="preserve">en virtud de la presente consultoría, pasará a propiedad del SIN, el mismo que tendrá los derechos exclusivos para publicar o difundir los documentos que se originen en esta consultoría. </w:t>
      </w:r>
    </w:p>
    <w:p>
      <w:pPr>
        <w:pStyle w:val="Normal"/>
        <w:ind w:hanging="0" w:left="426" w:right="0"/>
        <w:jc w:val="both"/>
        <w:rPr>
          <w:sz w:val="20"/>
          <w:szCs w:val="20"/>
          <w:shd w:fill="auto" w:val="clear"/>
        </w:rPr>
      </w:pPr>
      <w:r>
        <w:rPr>
          <w:rFonts w:cs="Tahoma" w:ascii="Tahoma" w:hAnsi="Tahoma"/>
          <w:sz w:val="20"/>
          <w:szCs w:val="20"/>
          <w:shd w:fill="auto" w:val="clear"/>
          <w:lang w:val="es-MX"/>
        </w:rPr>
        <w:t xml:space="preserve">Conforme a la normativa vigente, los consultores deberán preservar absoluta confidencialidad de la información y </w:t>
      </w:r>
      <w:r>
        <w:rPr>
          <w:rFonts w:cs="Tahoma" w:ascii="Tahoma" w:hAnsi="Tahoma"/>
          <w:sz w:val="20"/>
          <w:szCs w:val="20"/>
          <w:shd w:fill="auto" w:val="clear"/>
          <w:lang w:val="es-BO"/>
        </w:rPr>
        <w:t>documentación</w:t>
      </w:r>
      <w:r>
        <w:rPr>
          <w:rFonts w:cs="Tahoma" w:ascii="Tahoma" w:hAnsi="Tahoma"/>
          <w:sz w:val="20"/>
          <w:szCs w:val="20"/>
          <w:shd w:fill="auto" w:val="clear"/>
          <w:lang w:val="es-MX"/>
        </w:rPr>
        <w:t xml:space="preserve"> a su cargo, el incumplimiento generará aplicación de responsabilidades, de acuerdo a lo establecido en la Ley N° 1178.</w:t>
      </w:r>
    </w:p>
    <w:p>
      <w:pPr>
        <w:pStyle w:val="Normal"/>
        <w:widowControl/>
        <w:suppressAutoHyphens w:val="true"/>
        <w:bidi w:val="0"/>
        <w:spacing w:before="0" w:after="0"/>
        <w:ind w:hanging="0" w:left="397" w:right="0"/>
        <w:jc w:val="both"/>
        <w:rPr>
          <w:rFonts w:ascii="Tahoma" w:hAnsi="Tahoma" w:cs="Tahoma"/>
          <w:sz w:val="20"/>
          <w:szCs w:val="20"/>
          <w:shd w:fill="auto" w:val="clear"/>
          <w:lang w:val="es-ES"/>
        </w:rPr>
      </w:pPr>
      <w:r>
        <w:rPr>
          <w:rFonts w:cs="Tahoma" w:ascii="Tahoma" w:hAnsi="Tahoma"/>
          <w:sz w:val="20"/>
          <w:szCs w:val="20"/>
          <w:shd w:fill="auto" w:val="clear"/>
          <w:lang w:val="es-ES"/>
        </w:rPr>
      </w:r>
    </w:p>
    <w:p>
      <w:pPr>
        <w:pStyle w:val="Normal"/>
        <w:widowControl/>
        <w:suppressAutoHyphens w:val="true"/>
        <w:bidi w:val="0"/>
        <w:spacing w:before="0" w:after="0"/>
        <w:ind w:hanging="0" w:left="397" w:right="0"/>
        <w:jc w:val="both"/>
        <w:rPr>
          <w:sz w:val="20"/>
          <w:szCs w:val="20"/>
          <w:shd w:fill="auto" w:val="clear"/>
        </w:rPr>
      </w:pPr>
      <w:r>
        <w:rPr>
          <w:rFonts w:cs="Tahoma" w:ascii="Tahoma" w:hAnsi="Tahoma"/>
          <w:sz w:val="20"/>
          <w:szCs w:val="20"/>
          <w:shd w:fill="auto" w:val="clear"/>
          <w:lang w:val="es-ES"/>
        </w:rPr>
        <w:t xml:space="preserve">Como política de Seguridad de la Información del SIN y como medida de control el consultor, deberá suscribir el formulario del acta de confidencialidad </w:t>
      </w:r>
      <w:r>
        <w:rPr>
          <w:rFonts w:cs="Tahoma" w:ascii="Tahoma" w:hAnsi="Tahoma"/>
          <w:sz w:val="20"/>
          <w:szCs w:val="20"/>
          <w:shd w:fill="auto" w:val="clear"/>
          <w:lang w:val="es-MX"/>
        </w:rPr>
        <w:t>al momento de la formalización del contrato.</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PASAJES Y VIÁTICOS</w:t>
      </w:r>
    </w:p>
    <w:p>
      <w:pPr>
        <w:pStyle w:val="Normal"/>
        <w:ind w:hanging="0" w:left="426" w:right="0"/>
        <w:jc w:val="both"/>
        <w:rPr>
          <w:rFonts w:ascii="Tahoma" w:hAnsi="Tahoma" w:cs="Tahoma"/>
          <w:sz w:val="20"/>
          <w:szCs w:val="20"/>
          <w:shd w:fill="auto" w:val="clear"/>
          <w:lang w:val="es-MX"/>
        </w:rPr>
      </w:pPr>
      <w:r>
        <w:rPr>
          <w:rFonts w:cs="Tahoma" w:ascii="Tahoma" w:hAnsi="Tahoma"/>
          <w:sz w:val="20"/>
          <w:szCs w:val="20"/>
          <w:shd w:fill="auto" w:val="clear"/>
          <w:lang w:val="es-MX"/>
        </w:rPr>
        <w:t>Si por razones de servicio se dispone el viaje del consultor, los pasajes y viáticos serán asumidos por la entidad contratante de acuerdo a normativa vigente.</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RESPONSABILIDAD DE LA CONSULTORÍA</w:t>
      </w:r>
    </w:p>
    <w:p>
      <w:pPr>
        <w:pStyle w:val="NoSpacing"/>
        <w:ind w:hanging="0" w:left="340" w:right="0"/>
        <w:jc w:val="both"/>
        <w:rPr>
          <w:sz w:val="20"/>
          <w:szCs w:val="20"/>
          <w:shd w:fill="F6F9D4" w:val="clear"/>
        </w:rPr>
      </w:pPr>
      <w:r>
        <w:rPr>
          <w:rFonts w:cs="Tahoma" w:ascii="Tahoma" w:hAnsi="Tahoma"/>
          <w:sz w:val="20"/>
          <w:szCs w:val="20"/>
          <w:shd w:fill="auto" w:val="clear"/>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cs="Tahoma" w:ascii="Tahoma" w:hAnsi="Tahoma"/>
          <w:bCs/>
          <w:sz w:val="20"/>
          <w:szCs w:val="20"/>
          <w:shd w:fill="auto" w:val="clear"/>
          <w:lang w:eastAsia="es-BO"/>
        </w:rPr>
        <w:t>Asimismo, cabe señalar que el consultor está sujeto a responsabilidades por la función pública</w:t>
      </w:r>
      <w:r>
        <w:rPr>
          <w:rFonts w:cs="Tahoma" w:ascii="Tahoma" w:hAnsi="Tahoma"/>
          <w:bCs/>
          <w:sz w:val="20"/>
          <w:szCs w:val="20"/>
          <w:shd w:fill="F6F9D4" w:val="clear"/>
          <w:lang w:eastAsia="es-BO"/>
        </w:rPr>
        <w:t xml:space="preserve"> </w:t>
      </w:r>
      <w:r>
        <w:rPr>
          <w:rFonts w:cs="Tahoma" w:ascii="Tahoma" w:hAnsi="Tahoma"/>
          <w:bCs/>
          <w:sz w:val="20"/>
          <w:szCs w:val="20"/>
          <w:shd w:fill="auto" w:val="clear"/>
          <w:lang w:eastAsia="es-BO"/>
        </w:rPr>
        <w:t>en los aspectos que corresponda de acuerdo a lo establecido en el Art 31 y Art. 34 de la Ley 1178 y Art. 5 de la Ley 004, incluso una vez finalizada su relación contractual.</w:t>
      </w:r>
    </w:p>
    <w:p>
      <w:pPr>
        <w:pStyle w:val="NoSpacing"/>
        <w:ind w:hanging="0" w:left="284" w:right="0"/>
        <w:jc w:val="both"/>
        <w:rPr>
          <w:rFonts w:ascii="Tahoma" w:hAnsi="Tahoma" w:cs="Tahoma"/>
          <w:sz w:val="20"/>
          <w:szCs w:val="20"/>
          <w:shd w:fill="auto" w:val="clear"/>
        </w:rPr>
      </w:pPr>
      <w:r>
        <w:rPr>
          <w:rFonts w:cs="Tahoma" w:ascii="Tahoma" w:hAnsi="Tahoma"/>
          <w:sz w:val="20"/>
          <w:szCs w:val="20"/>
          <w:shd w:fill="auto" w:val="clear"/>
        </w:rPr>
      </w:r>
    </w:p>
    <w:p>
      <w:pPr>
        <w:pStyle w:val="NoSpacing"/>
        <w:ind w:hanging="0" w:left="284" w:right="0"/>
        <w:jc w:val="both"/>
        <w:rPr>
          <w:rFonts w:ascii="Tahoma" w:hAnsi="Tahoma" w:cs="Tahoma"/>
          <w:sz w:val="20"/>
          <w:szCs w:val="20"/>
          <w:shd w:fill="auto" w:val="clear"/>
          <w:lang w:val="es-MX"/>
        </w:rPr>
      </w:pPr>
      <w:r>
        <w:rPr>
          <w:rFonts w:cs="Tahoma" w:ascii="Tahoma" w:hAnsi="Tahoma"/>
          <w:sz w:val="20"/>
          <w:szCs w:val="20"/>
          <w:shd w:fill="auto" w:val="clear"/>
          <w:lang w:val="es-MX"/>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DOBLE PERCEPCIÓN</w:t>
      </w:r>
    </w:p>
    <w:p>
      <w:pPr>
        <w:pStyle w:val="NoSpacing"/>
        <w:widowControl/>
        <w:suppressAutoHyphens w:val="true"/>
        <w:bidi w:val="0"/>
        <w:spacing w:before="0" w:after="0"/>
        <w:ind w:hanging="0" w:left="283" w:right="0"/>
        <w:jc w:val="both"/>
        <w:rPr/>
      </w:pPr>
      <w:r>
        <w:rPr>
          <w:rFonts w:cs="Tahoma" w:ascii="Tahoma" w:hAnsi="Tahoma"/>
          <w:sz w:val="20"/>
          <w:szCs w:val="20"/>
          <w:shd w:fill="auto" w:val="clear"/>
          <w:lang w:val="es-MX"/>
        </w:rPr>
        <w:t>En cumplimiento a normativa vigente, sobre la no percepción de otras remuneraciones con recursos públicos (Doble Percepción); el proponente adjudicado deberá suscribir el Formulario de</w:t>
      </w:r>
      <w:r>
        <w:rPr>
          <w:rStyle w:val="Strong"/>
          <w:rFonts w:cs="Arial" w:ascii="Arial" w:hAnsi="Arial"/>
          <w:color w:val="002060"/>
          <w:sz w:val="20"/>
          <w:szCs w:val="20"/>
          <w:shd w:fill="auto" w:val="clear"/>
          <w:lang w:val="es-MX"/>
        </w:rPr>
        <w:t xml:space="preserve"> </w:t>
      </w:r>
      <w:r>
        <w:rPr>
          <w:rStyle w:val="Strong"/>
          <w:rFonts w:cs="Tahoma" w:ascii="Tahoma" w:hAnsi="Tahoma"/>
          <w:b w:val="false"/>
          <w:sz w:val="20"/>
          <w:szCs w:val="20"/>
          <w:shd w:fill="auto" w:val="clear"/>
          <w:lang w:val="es-MX"/>
        </w:rPr>
        <w:t>Declaración Jurada de Incompatibilidad por Doble Percepción</w:t>
      </w:r>
      <w:r>
        <w:rPr>
          <w:rFonts w:cs="Tahoma" w:ascii="Tahoma" w:hAnsi="Tahoma"/>
          <w:sz w:val="20"/>
          <w:szCs w:val="20"/>
          <w:shd w:fill="auto" w:val="clear"/>
          <w:lang w:val="es-MX"/>
        </w:rPr>
        <w:t xml:space="preserve"> a la formalización de la contratación, la misma que tendrá carácter de Declaración Jurada, con excepción de los permitidos por Ley. </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CERTIFICACIÓN DE NO VIOLENCIA LEY N° 348 Y N° 1153</w:t>
      </w:r>
    </w:p>
    <w:p>
      <w:pPr>
        <w:pStyle w:val="Normal"/>
        <w:ind w:hanging="0" w:left="284" w:right="0"/>
        <w:jc w:val="both"/>
        <w:rPr>
          <w:rFonts w:ascii="Tahoma" w:hAnsi="Tahoma" w:cs="Tahoma"/>
          <w:sz w:val="20"/>
          <w:szCs w:val="20"/>
          <w:shd w:fill="auto" w:val="clear"/>
          <w:lang w:val="es-MX"/>
        </w:rPr>
      </w:pPr>
      <w:r>
        <w:rPr>
          <w:rFonts w:cs="Tahoma" w:ascii="Tahoma" w:hAnsi="Tahoma"/>
          <w:sz w:val="20"/>
          <w:szCs w:val="20"/>
          <w:shd w:fill="auto" w:val="clear"/>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CÓDIGO DE ÉTICA</w:t>
      </w:r>
    </w:p>
    <w:p>
      <w:pPr>
        <w:pStyle w:val="Normal"/>
        <w:widowControl/>
        <w:tabs>
          <w:tab w:val="clear" w:pos="709"/>
          <w:tab w:val="left" w:pos="286" w:leader="none"/>
        </w:tabs>
        <w:suppressAutoHyphens w:val="true"/>
        <w:bidi w:val="0"/>
        <w:spacing w:before="0" w:after="0"/>
        <w:ind w:hanging="113" w:left="-57" w:right="-113"/>
        <w:jc w:val="both"/>
        <w:rPr>
          <w:rFonts w:ascii="Tahoma" w:hAnsi="Tahoma" w:cs="Tahoma"/>
          <w:sz w:val="20"/>
          <w:szCs w:val="20"/>
          <w:lang w:val="es-MX"/>
        </w:rPr>
      </w:pPr>
      <w:r>
        <w:rPr>
          <w:rFonts w:cs="Tahoma" w:ascii="Tahoma" w:hAnsi="Tahoma"/>
          <w:sz w:val="20"/>
          <w:szCs w:val="20"/>
          <w:shd w:fill="auto" w:val="clear"/>
          <w:lang w:val="es-MX"/>
        </w:rPr>
        <w:t xml:space="preserve">     </w:t>
      </w:r>
      <w:r>
        <w:rPr>
          <w:rFonts w:cs="Tahoma" w:ascii="Tahoma" w:hAnsi="Tahoma"/>
          <w:sz w:val="20"/>
          <w:szCs w:val="20"/>
          <w:shd w:fill="auto" w:val="clear"/>
          <w:lang w:val="es-MX"/>
        </w:rPr>
        <w:t xml:space="preserve">El consultor, al momento de la formalizacion del contrato, deberá suscribir el formulario de   </w:t>
        <w:tab/>
        <w:t>declaración de adhesión, compromiso y cumplimiento al código de Ética del SIN</w:t>
      </w:r>
    </w:p>
    <w:p>
      <w:pPr>
        <w:pStyle w:val="Heading1"/>
        <w:keepNext w:val="false"/>
        <w:keepLines w:val="false"/>
        <w:widowControl/>
        <w:numPr>
          <w:ilvl w:val="0"/>
          <w:numId w:val="1"/>
        </w:numPr>
        <w:pBdr>
          <w:bottom w:val="single" w:sz="12" w:space="1" w:color="365F91"/>
        </w:pBdr>
        <w:suppressAutoHyphens w:val="true"/>
        <w:bidi w:val="0"/>
        <w:spacing w:before="120" w:after="120"/>
        <w:ind w:hanging="0" w:left="283" w:right="0"/>
        <w:jc w:val="both"/>
        <w:rPr>
          <w:rFonts w:ascii="Tahoma" w:hAnsi="Tahoma" w:cs="Tahoma"/>
          <w:b/>
          <w:bCs/>
          <w:color w:val="3465A4"/>
          <w:sz w:val="20"/>
          <w:szCs w:val="20"/>
          <w:u w:val="none"/>
          <w:shd w:fill="auto" w:val="clear"/>
          <w:lang w:val="es-BO"/>
        </w:rPr>
      </w:pPr>
      <w:r>
        <w:rPr>
          <w:rFonts w:cs="Tahoma"/>
          <w:b/>
          <w:bCs/>
          <w:color w:val="3465A4"/>
          <w:sz w:val="20"/>
          <w:szCs w:val="20"/>
          <w:u w:val="none"/>
          <w:shd w:fill="auto" w:val="clear"/>
          <w:lang w:val="es-BO"/>
        </w:rPr>
        <w:t>CIUDADANÍA DIGITAL</w:t>
      </w:r>
    </w:p>
    <w:p>
      <w:pPr>
        <w:pStyle w:val="Normal"/>
        <w:pBdr>
          <w:bottom w:val="single" w:sz="12" w:space="1" w:color="365F91"/>
        </w:pBdr>
        <w:spacing w:before="120" w:after="120"/>
        <w:ind w:hanging="0" w:left="284" w:right="0"/>
        <w:jc w:val="both"/>
        <w:rPr>
          <w:u w:val="none"/>
        </w:rPr>
      </w:pPr>
      <w:r>
        <w:rPr>
          <w:rFonts w:cs="Tahoma" w:ascii="Tahoma" w:hAnsi="Tahoma"/>
          <w:sz w:val="20"/>
          <w:szCs w:val="20"/>
          <w:u w:val="none"/>
          <w:shd w:fill="auto" w:val="clear"/>
          <w:lang w:val="es-BO"/>
        </w:rPr>
        <w:t>El consultor para la formalización del contrato, deberá presentar su registro en Ciudadanía Digital, en cumplimiento al articulo 4 de la Ley 1451 del 15 de agosto de 2022.</w:t>
      </w:r>
    </w:p>
    <w:p>
      <w:pPr>
        <w:pStyle w:val="Heading1"/>
        <w:numPr>
          <w:ilvl w:val="0"/>
          <w:numId w:val="1"/>
        </w:numPr>
        <w:pBdr>
          <w:bottom w:val="single" w:sz="12" w:space="1" w:color="365F91"/>
        </w:pBdr>
        <w:spacing w:before="120" w:after="120"/>
        <w:ind w:hanging="0" w:left="284" w:right="0"/>
        <w:jc w:val="both"/>
        <w:rPr>
          <w:rFonts w:ascii="Tahoma" w:hAnsi="Tahoma" w:cs="Tahoma"/>
          <w:sz w:val="20"/>
          <w:szCs w:val="20"/>
          <w:shd w:fill="auto" w:val="clear"/>
          <w:lang w:val="es-BO"/>
        </w:rPr>
      </w:pPr>
      <w:r>
        <w:rPr>
          <w:rFonts w:cs="Tahoma"/>
          <w:sz w:val="20"/>
          <w:szCs w:val="20"/>
          <w:shd w:fill="auto" w:val="clear"/>
          <w:lang w:val="es-BO"/>
        </w:rPr>
        <w:t>PERFIL REQUERIDO DEL CONSULTOR</w:t>
      </w:r>
    </w:p>
    <w:p>
      <w:pPr>
        <w:pStyle w:val="NoSpacing"/>
        <w:ind w:hanging="426" w:left="993" w:right="0"/>
        <w:jc w:val="both"/>
        <w:rPr>
          <w:rFonts w:ascii="Tahoma" w:hAnsi="Tahoma" w:cs="Tahoma"/>
          <w:sz w:val="20"/>
          <w:szCs w:val="20"/>
          <w:lang w:val="es-MX"/>
        </w:rPr>
      </w:pPr>
      <w:r>
        <w:rPr>
          <w:rFonts w:cs="Tahoma" w:ascii="Tahoma" w:hAnsi="Tahoma"/>
          <w:sz w:val="20"/>
          <w:szCs w:val="20"/>
          <w:lang w:val="es-MX"/>
        </w:rPr>
        <w:t>El consultor deberá tener el siguiente perfil:</w:t>
      </w:r>
    </w:p>
    <w:p>
      <w:pPr>
        <w:pStyle w:val="NoSpacing"/>
        <w:ind w:hanging="426" w:left="993" w:right="0"/>
        <w:jc w:val="both"/>
        <w:rPr>
          <w:rFonts w:ascii="Tahoma" w:hAnsi="Tahoma" w:cs="Tahoma"/>
          <w:sz w:val="8"/>
          <w:szCs w:val="8"/>
          <w:shd w:fill="auto" w:val="clear"/>
        </w:rPr>
      </w:pPr>
      <w:r>
        <w:rPr>
          <w:rFonts w:cs="Tahoma" w:ascii="Tahoma" w:hAnsi="Tahoma"/>
          <w:sz w:val="8"/>
          <w:szCs w:val="8"/>
          <w:shd w:fill="auto" w:val="clear"/>
        </w:rPr>
      </w:r>
    </w:p>
    <w:p>
      <w:pPr>
        <w:pStyle w:val="NoSpacing"/>
        <w:ind w:hanging="426" w:left="993" w:right="0"/>
        <w:jc w:val="both"/>
        <w:rPr/>
      </w:pPr>
      <w:r>
        <w:rPr>
          <w:rFonts w:eastAsia="Times New Roman" w:cs="Tahoma" w:ascii="Tahoma" w:hAnsi="Tahoma"/>
          <w:b/>
          <w:color w:val="000000"/>
          <w:kern w:val="0"/>
          <w:sz w:val="20"/>
          <w:szCs w:val="20"/>
          <w:u w:val="single"/>
          <w:shd w:fill="auto" w:val="clear"/>
          <w:lang w:val="es-MX" w:eastAsia="en-US" w:bidi="ar-SA"/>
        </w:rPr>
        <w:t>20</w:t>
      </w:r>
      <w:r>
        <w:rPr>
          <w:rFonts w:cs="Tahoma" w:ascii="Tahoma" w:hAnsi="Tahoma"/>
          <w:b/>
          <w:sz w:val="20"/>
          <w:szCs w:val="20"/>
          <w:u w:val="single"/>
          <w:shd w:fill="auto" w:val="clear"/>
          <w:lang w:val="es-MX"/>
        </w:rPr>
        <w:t>.1 FORMACIÓN ACADÉMICA REQUISITO MÍNIMO HABILITANTE (35 Puntos)</w:t>
      </w:r>
    </w:p>
    <w:p>
      <w:pPr>
        <w:pStyle w:val="Normal"/>
        <w:ind w:hanging="0" w:left="426" w:right="0"/>
        <w:jc w:val="both"/>
        <w:rPr>
          <w:rFonts w:ascii="Tahoma" w:hAnsi="Tahoma" w:cs="Tahoma"/>
          <w:sz w:val="8"/>
          <w:szCs w:val="8"/>
          <w:shd w:fill="auto" w:val="clear"/>
          <w:lang w:val="es-MX"/>
        </w:rPr>
      </w:pPr>
      <w:r>
        <w:rPr>
          <w:rFonts w:cs="Tahoma" w:ascii="Tahoma" w:hAnsi="Tahoma"/>
          <w:sz w:val="8"/>
          <w:szCs w:val="8"/>
          <w:shd w:fill="auto" w:val="clear"/>
          <w:lang w:val="es-MX"/>
        </w:rPr>
      </w:r>
    </w:p>
    <w:p>
      <w:pPr>
        <w:pStyle w:val="Normal"/>
        <w:ind w:hanging="0" w:left="426" w:right="0"/>
        <w:jc w:val="both"/>
        <w:rPr>
          <w:sz w:val="20"/>
          <w:szCs w:val="20"/>
        </w:rPr>
      </w:pPr>
      <w:r>
        <w:rPr>
          <w:rFonts w:cs="Tahoma" w:ascii="Tahoma" w:hAnsi="Tahoma"/>
          <w:sz w:val="20"/>
          <w:szCs w:val="20"/>
          <w:shd w:fill="auto" w:val="clear"/>
          <w:lang w:val="es-BO"/>
        </w:rPr>
        <w:t>Egresado(a) universitario(a) o Técnico Superior en: Auditoría Financiera</w:t>
      </w:r>
      <w:r>
        <w:rPr>
          <w:rFonts w:cs="Tahoma" w:ascii="Tahoma" w:hAnsi="Tahoma"/>
          <w:sz w:val="20"/>
          <w:szCs w:val="20"/>
          <w:shd w:fill="auto" w:val="clear"/>
          <w:lang w:val="en-US"/>
        </w:rPr>
        <w:t>,</w:t>
      </w:r>
      <w:r>
        <w:rPr>
          <w:rFonts w:cs="Tahoma" w:ascii="Tahoma" w:hAnsi="Tahoma"/>
          <w:sz w:val="20"/>
          <w:szCs w:val="20"/>
          <w:shd w:fill="auto" w:val="clear"/>
          <w:lang w:val="es-BO"/>
        </w:rPr>
        <w:t xml:space="preserve"> Contaduría Pública</w:t>
      </w:r>
      <w:r>
        <w:rPr>
          <w:rFonts w:cs="Tahoma" w:ascii="Tahoma" w:hAnsi="Tahoma"/>
          <w:sz w:val="20"/>
          <w:szCs w:val="20"/>
          <w:shd w:fill="auto" w:val="clear"/>
          <w:lang w:val="en-US"/>
        </w:rPr>
        <w:t>,</w:t>
      </w:r>
      <w:r>
        <w:rPr>
          <w:rFonts w:cs="Tahoma" w:ascii="Tahoma" w:hAnsi="Tahoma"/>
          <w:sz w:val="20"/>
          <w:szCs w:val="20"/>
          <w:shd w:fill="auto" w:val="clear"/>
          <w:lang w:val="es-BO"/>
        </w:rPr>
        <w:t xml:space="preserve"> Ingeniería Financiera</w:t>
      </w:r>
      <w:r>
        <w:rPr>
          <w:rFonts w:cs="Tahoma" w:ascii="Tahoma" w:hAnsi="Tahoma"/>
          <w:sz w:val="20"/>
          <w:szCs w:val="20"/>
          <w:shd w:fill="auto" w:val="clear"/>
          <w:lang w:val="en-US"/>
        </w:rPr>
        <w:t xml:space="preserve"> o</w:t>
      </w:r>
      <w:r>
        <w:rPr>
          <w:rFonts w:cs="Tahoma" w:ascii="Tahoma" w:hAnsi="Tahoma"/>
          <w:sz w:val="20"/>
          <w:szCs w:val="20"/>
          <w:shd w:fill="auto" w:val="clear"/>
          <w:lang w:val="es-BO"/>
        </w:rPr>
        <w:t xml:space="preserve"> Economía</w:t>
      </w:r>
      <w:r>
        <w:rPr>
          <w:rFonts w:cs="Tahoma" w:ascii="Tahoma" w:hAnsi="Tahoma"/>
          <w:sz w:val="20"/>
          <w:szCs w:val="20"/>
          <w:shd w:fill="auto" w:val="clear"/>
          <w:lang w:val="en-US"/>
        </w:rPr>
        <w:t xml:space="preserve"> o </w:t>
      </w:r>
      <w:r>
        <w:rPr>
          <w:rFonts w:cs="Tahoma" w:ascii="Tahoma" w:hAnsi="Tahoma"/>
          <w:sz w:val="20"/>
          <w:szCs w:val="20"/>
          <w:shd w:fill="auto" w:val="clear"/>
          <w:lang w:val="es-BO"/>
        </w:rPr>
        <w:t>Ingeniería Económica</w:t>
      </w:r>
      <w:r>
        <w:rPr>
          <w:rFonts w:cs="Tahoma" w:ascii="Tahoma" w:hAnsi="Tahoma"/>
          <w:sz w:val="20"/>
          <w:szCs w:val="20"/>
          <w:shd w:fill="auto" w:val="clear"/>
          <w:lang w:val="en-US"/>
        </w:rPr>
        <w:t>,</w:t>
      </w:r>
      <w:r>
        <w:rPr>
          <w:rFonts w:cs="Tahoma" w:ascii="Tahoma" w:hAnsi="Tahoma"/>
          <w:sz w:val="20"/>
          <w:szCs w:val="20"/>
          <w:shd w:fill="auto" w:val="clear"/>
          <w:lang w:val="es-BO"/>
        </w:rPr>
        <w:t xml:space="preserve"> Administración de Empresas</w:t>
      </w:r>
      <w:r>
        <w:rPr>
          <w:rFonts w:cs="Tahoma" w:ascii="Tahoma" w:hAnsi="Tahoma"/>
          <w:sz w:val="20"/>
          <w:szCs w:val="20"/>
          <w:shd w:fill="auto" w:val="clear"/>
          <w:lang w:val="en-US"/>
        </w:rPr>
        <w:t xml:space="preserve"> o</w:t>
      </w:r>
      <w:r>
        <w:rPr>
          <w:rFonts w:cs="Tahoma" w:ascii="Tahoma" w:hAnsi="Tahoma"/>
          <w:sz w:val="20"/>
          <w:szCs w:val="20"/>
          <w:shd w:fill="auto" w:val="clear"/>
          <w:lang w:val="es-BO"/>
        </w:rPr>
        <w:t xml:space="preserve"> Administración Financiera </w:t>
      </w:r>
      <w:r>
        <w:rPr>
          <w:rFonts w:cs="Tahoma" w:ascii="Tahoma" w:hAnsi="Tahoma"/>
          <w:sz w:val="20"/>
          <w:szCs w:val="20"/>
          <w:shd w:fill="auto" w:val="clear"/>
          <w:lang w:val="en-US"/>
        </w:rPr>
        <w:t>o</w:t>
      </w:r>
      <w:r>
        <w:rPr>
          <w:rFonts w:cs="Tahoma" w:ascii="Tahoma" w:hAnsi="Tahoma"/>
          <w:sz w:val="20"/>
          <w:szCs w:val="20"/>
          <w:shd w:fill="auto" w:val="clear"/>
          <w:lang w:val="es-BO"/>
        </w:rPr>
        <w:t xml:space="preserve"> Ingeniería Comercial (Habilitante).</w:t>
      </w:r>
    </w:p>
    <w:p>
      <w:pPr>
        <w:pStyle w:val="Normal"/>
        <w:ind w:hanging="426" w:left="993" w:right="0"/>
        <w:rPr>
          <w:rFonts w:ascii="Tahoma" w:hAnsi="Tahoma" w:cs="Tahoma"/>
          <w:b/>
          <w:sz w:val="8"/>
          <w:szCs w:val="8"/>
          <w:u w:val="single"/>
          <w:lang w:val="es-BO"/>
        </w:rPr>
      </w:pPr>
      <w:r>
        <w:rPr>
          <w:rFonts w:cs="Tahoma" w:ascii="Tahoma" w:hAnsi="Tahoma"/>
          <w:b/>
          <w:sz w:val="8"/>
          <w:szCs w:val="8"/>
          <w:u w:val="single"/>
          <w:lang w:val="es-BO"/>
        </w:rPr>
      </w:r>
    </w:p>
    <w:p>
      <w:pPr>
        <w:pStyle w:val="Normal"/>
        <w:ind w:hanging="426" w:left="993" w:right="0"/>
        <w:rPr/>
      </w:pPr>
      <w:r>
        <w:rPr>
          <w:rFonts w:eastAsia="DejaVu Sans" w:cs="Tahoma" w:ascii="Tahoma" w:hAnsi="Tahoma"/>
          <w:b/>
          <w:color w:val="auto"/>
          <w:kern w:val="0"/>
          <w:sz w:val="20"/>
          <w:szCs w:val="20"/>
          <w:u w:val="single"/>
          <w:lang w:val="es-BO" w:eastAsia="es-ES" w:bidi="ar-SA"/>
        </w:rPr>
        <w:t>20</w:t>
      </w:r>
      <w:r>
        <w:rPr>
          <w:rFonts w:cs="Tahoma" w:ascii="Tahoma" w:hAnsi="Tahoma"/>
          <w:b/>
          <w:sz w:val="20"/>
          <w:szCs w:val="20"/>
          <w:u w:val="single"/>
          <w:lang w:val="es-BO"/>
        </w:rPr>
        <w:t xml:space="preserve">.2 CONDICIONES ADICIONALES </w:t>
      </w:r>
      <w:r>
        <w:rPr>
          <w:rFonts w:cs="Tahoma" w:ascii="Tahoma" w:hAnsi="Tahoma"/>
          <w:b/>
          <w:sz w:val="20"/>
          <w:szCs w:val="20"/>
          <w:u w:val="single"/>
        </w:rPr>
        <w:t>(35 Puntos)</w:t>
      </w:r>
    </w:p>
    <w:p>
      <w:pPr>
        <w:pStyle w:val="Normal"/>
        <w:ind w:hanging="426" w:left="993" w:right="0"/>
        <w:rPr>
          <w:rFonts w:ascii="Tahoma" w:hAnsi="Tahoma" w:cs="Tahoma"/>
          <w:b/>
          <w:sz w:val="20"/>
          <w:szCs w:val="20"/>
          <w:u w:val="single"/>
        </w:rPr>
      </w:pPr>
      <w:r>
        <w:rPr>
          <w:rFonts w:cs="Tahoma" w:ascii="Tahoma" w:hAnsi="Tahoma"/>
          <w:b/>
          <w:sz w:val="20"/>
          <w:szCs w:val="20"/>
          <w:u w:val="single"/>
        </w:rPr>
      </w:r>
    </w:p>
    <w:p>
      <w:pPr>
        <w:pStyle w:val="Normal"/>
        <w:ind w:hanging="426" w:left="993" w:right="0"/>
        <w:rPr>
          <w:rFonts w:ascii="Tahoma" w:hAnsi="Tahoma" w:cs="Tahoma"/>
          <w:b/>
          <w:sz w:val="8"/>
          <w:szCs w:val="8"/>
          <w:u w:val="single"/>
        </w:rPr>
      </w:pPr>
      <w:r>
        <w:rPr>
          <w:rFonts w:cs="Tahoma" w:ascii="Tahoma" w:hAnsi="Tahoma"/>
          <w:b/>
          <w:sz w:val="8"/>
          <w:szCs w:val="8"/>
          <w:u w:val="single"/>
        </w:rPr>
      </w:r>
    </w:p>
    <w:tbl>
      <w:tblPr>
        <w:tblW w:w="9067" w:type="dxa"/>
        <w:jc w:val="center"/>
        <w:tblInd w:w="0" w:type="dxa"/>
        <w:tblLayout w:type="fixed"/>
        <w:tblCellMar>
          <w:top w:w="0" w:type="dxa"/>
          <w:left w:w="108" w:type="dxa"/>
          <w:bottom w:w="0" w:type="dxa"/>
          <w:right w:w="108" w:type="dxa"/>
        </w:tblCellMar>
      </w:tblPr>
      <w:tblGrid>
        <w:gridCol w:w="1399"/>
        <w:gridCol w:w="5001"/>
        <w:gridCol w:w="966"/>
        <w:gridCol w:w="1700"/>
      </w:tblGrid>
      <w:tr>
        <w:trPr>
          <w:trHeight w:val="263" w:hRule="atLeast"/>
        </w:trPr>
        <w:tc>
          <w:tcPr>
            <w:tcW w:w="7366" w:type="dxa"/>
            <w:gridSpan w:val="3"/>
            <w:tcBorders>
              <w:top w:val="single" w:sz="4" w:space="0" w:color="000000"/>
              <w:left w:val="single" w:sz="4" w:space="0" w:color="000000"/>
              <w:bottom w:val="single" w:sz="4" w:space="0" w:color="000000"/>
              <w:right w:val="single" w:sz="4" w:space="0" w:color="000000"/>
            </w:tcBorders>
            <w:shd w:fill="D8D8D8" w:val="clear"/>
            <w:vAlign w:val="cente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CONDICIONES ADICIONALES SOLICITADAS</w:t>
            </w:r>
          </w:p>
        </w:tc>
        <w:tc>
          <w:tcPr>
            <w:tcW w:w="1700"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Para ser llenado por el proponente al momento de elaborar su propuesta</w:t>
            </w:r>
          </w:p>
        </w:tc>
      </w:tr>
      <w:tr>
        <w:trPr>
          <w:trHeight w:val="216" w:hRule="atLeast"/>
        </w:trPr>
        <w:tc>
          <w:tcPr>
            <w:tcW w:w="6400" w:type="dxa"/>
            <w:gridSpan w:val="2"/>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CONDICIONES ADICIONALES A SER EVALUADAS</w:t>
            </w:r>
          </w:p>
        </w:tc>
        <w:tc>
          <w:tcPr>
            <w:tcW w:w="966"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PUNTAJE</w:t>
            </w:r>
          </w:p>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ASIGNADO</w:t>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399"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ind w:hanging="0" w:left="32" w:right="0"/>
              <w:jc w:val="center"/>
              <w:rPr>
                <w:rFonts w:ascii="Tahoma" w:hAnsi="Tahoma" w:cs="Tahoma"/>
                <w:b/>
                <w:kern w:val="0"/>
                <w:sz w:val="16"/>
                <w:szCs w:val="16"/>
                <w:lang w:eastAsia="en-US" w:bidi="ar-SA"/>
              </w:rPr>
            </w:pPr>
            <w:r>
              <w:rPr>
                <w:rFonts w:cs="Tahoma" w:ascii="Tahoma" w:hAnsi="Tahoma"/>
                <w:b/>
                <w:kern w:val="0"/>
                <w:sz w:val="16"/>
                <w:szCs w:val="16"/>
                <w:lang w:eastAsia="en-US" w:bidi="ar-SA"/>
              </w:rPr>
              <w:t>CRITERIO</w:t>
            </w:r>
          </w:p>
        </w:tc>
        <w:tc>
          <w:tcPr>
            <w:tcW w:w="5001"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CONDICIONES</w:t>
            </w:r>
          </w:p>
        </w:tc>
        <w:tc>
          <w:tcPr>
            <w:tcW w:w="966"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399"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numPr>
                <w:ilvl w:val="0"/>
                <w:numId w:val="11"/>
              </w:numPr>
              <w:spacing w:before="0" w:after="0"/>
              <w:ind w:hanging="284" w:left="316" w:right="0"/>
              <w:jc w:val="center"/>
              <w:rPr>
                <w:rFonts w:ascii="Tahoma" w:hAnsi="Tahoma" w:cs="Tahoma"/>
                <w:b/>
                <w:kern w:val="0"/>
                <w:sz w:val="14"/>
                <w:szCs w:val="14"/>
                <w:lang w:eastAsia="en-US" w:bidi="ar-SA"/>
              </w:rPr>
            </w:pPr>
            <w:r>
              <w:rPr>
                <w:rFonts w:cs="Tahoma" w:ascii="Tahoma" w:hAnsi="Tahoma"/>
                <w:b/>
                <w:kern w:val="0"/>
                <w:sz w:val="14"/>
                <w:szCs w:val="14"/>
                <w:lang w:eastAsia="en-US" w:bidi="ar-SA"/>
              </w:rPr>
              <w:t>FORMACIÓN ADICIONAL</w:t>
            </w:r>
          </w:p>
          <w:p>
            <w:pPr>
              <w:pStyle w:val="NoSpacing"/>
              <w:widowControl/>
              <w:spacing w:before="0" w:after="0"/>
              <w:jc w:val="left"/>
              <w:rPr>
                <w:rFonts w:ascii="Tahoma" w:hAnsi="Tahoma" w:cs="Tahoma"/>
                <w:b/>
                <w:sz w:val="14"/>
                <w:szCs w:val="14"/>
              </w:rPr>
            </w:pPr>
            <w:r>
              <w:rPr>
                <w:rFonts w:cs="Tahoma" w:ascii="Tahoma" w:hAnsi="Tahoma"/>
                <w:b/>
                <w:sz w:val="14"/>
                <w:szCs w:val="14"/>
              </w:rPr>
            </w:r>
          </w:p>
        </w:tc>
        <w:tc>
          <w:tcPr>
            <w:tcW w:w="5001" w:type="dxa"/>
            <w:tcBorders>
              <w:top w:val="single" w:sz="4" w:space="0" w:color="000000"/>
              <w:left w:val="single" w:sz="4" w:space="0" w:color="000000"/>
              <w:bottom w:val="single" w:sz="4" w:space="0" w:color="000000"/>
              <w:right w:val="single" w:sz="4" w:space="0" w:color="000000"/>
            </w:tcBorders>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9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4</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sz w:val="16"/>
                <w:szCs w:val="16"/>
              </w:rPr>
            </w:pPr>
            <w:r>
              <w:rPr>
                <w:rFonts w:cs="Tahoma" w:ascii="Tahoma" w:hAnsi="Tahoma"/>
                <w:b/>
                <w:sz w:val="16"/>
                <w:szCs w:val="16"/>
              </w:rPr>
            </w:r>
          </w:p>
        </w:tc>
      </w:tr>
      <w:tr>
        <w:trPr>
          <w:trHeight w:val="216" w:hRule="atLeast"/>
        </w:trPr>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5001"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9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5001"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9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50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szCs w:val="22"/>
                <w:shd w:fill="auto" w:val="clear"/>
                <w:lang w:val="es-ES" w:eastAsia="en-US"/>
              </w:rPr>
            </w:pPr>
            <w:r>
              <w:rPr>
                <w:rFonts w:cs="Tahoma" w:ascii="Tahoma" w:hAnsi="Tahoma"/>
                <w:sz w:val="16"/>
                <w:szCs w:val="18"/>
                <w:shd w:fill="auto" w:val="clear"/>
                <w:lang w:val="es-ES" w:eastAsia="en-US"/>
              </w:rPr>
              <w:t xml:space="preserve"> </w:t>
            </w:r>
            <w:r>
              <w:rPr>
                <w:rFonts w:cs="Tahoma" w:ascii="Tahoma" w:hAnsi="Tahoma"/>
                <w:sz w:val="16"/>
                <w:szCs w:val="18"/>
                <w:shd w:fill="auto" w:val="clear"/>
                <w:lang w:val="es-ES" w:eastAsia="en-US"/>
              </w:rPr>
              <w:t>Curso o Taller en herramientas Ofimática (</w:t>
            </w:r>
            <w:r>
              <w:rPr>
                <w:rFonts w:eastAsia="Tahoma" w:cs="Verdana"/>
                <w:color w:val="000000"/>
                <w:kern w:val="0"/>
                <w:sz w:val="16"/>
                <w:szCs w:val="16"/>
                <w:shd w:fill="auto" w:val="clear"/>
                <w:lang w:val="es-ES" w:eastAsia="zh-CN" w:bidi="ar-SA"/>
              </w:rPr>
              <w:t>LibreOffice Writer</w:t>
            </w:r>
            <w:r>
              <w:rPr>
                <w:rFonts w:cs="Tahoma" w:ascii="Tahoma" w:hAnsi="Tahoma"/>
                <w:sz w:val="16"/>
                <w:szCs w:val="18"/>
                <w:shd w:fill="auto" w:val="clear"/>
                <w:lang w:val="es-ES" w:eastAsia="en-US"/>
              </w:rPr>
              <w:t>)</w:t>
            </w:r>
          </w:p>
        </w:tc>
        <w:tc>
          <w:tcPr>
            <w:tcW w:w="9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1</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5001" w:type="dxa"/>
            <w:tcBorders>
              <w:left w:val="single" w:sz="4" w:space="0" w:color="000000"/>
              <w:bottom w:val="single" w:sz="4" w:space="0" w:color="000000"/>
              <w:right w:val="single" w:sz="4" w:space="0" w:color="000000"/>
            </w:tcBorders>
            <w:vAlign w:val="center"/>
          </w:tcPr>
          <w:p>
            <w:pPr>
              <w:pStyle w:val="Normal"/>
              <w:widowControl w:val="false"/>
              <w:rPr>
                <w:szCs w:val="22"/>
                <w:shd w:fill="auto" w:val="clear"/>
                <w:lang w:val="es-ES" w:eastAsia="en-US"/>
              </w:rPr>
            </w:pPr>
            <w:r>
              <w:rPr>
                <w:rFonts w:cs="Tahoma" w:ascii="Tahoma" w:hAnsi="Tahoma"/>
                <w:sz w:val="16"/>
                <w:szCs w:val="18"/>
                <w:shd w:fill="auto" w:val="clear"/>
                <w:lang w:val="es-ES" w:eastAsia="en-US"/>
              </w:rPr>
              <w:t xml:space="preserve">  </w:t>
            </w:r>
            <w:r>
              <w:rPr>
                <w:rFonts w:cs="Tahoma" w:ascii="Tahoma" w:hAnsi="Tahoma"/>
                <w:sz w:val="16"/>
                <w:szCs w:val="18"/>
                <w:shd w:fill="auto" w:val="clear"/>
                <w:lang w:val="es-ES" w:eastAsia="en-US"/>
              </w:rPr>
              <w:t>Curso o Taller en herramientas Ofimática (</w:t>
            </w:r>
            <w:r>
              <w:rPr>
                <w:rFonts w:eastAsia="Tahoma" w:cs="Verdana"/>
                <w:color w:val="000000"/>
                <w:kern w:val="0"/>
                <w:sz w:val="16"/>
                <w:szCs w:val="16"/>
                <w:shd w:fill="auto" w:val="clear"/>
                <w:lang w:val="es-ES" w:eastAsia="zh-CN" w:bidi="ar-SA"/>
              </w:rPr>
              <w:t>LibreOffice Calc</w:t>
            </w:r>
            <w:r>
              <w:rPr>
                <w:rFonts w:cs="Tahoma" w:ascii="Tahoma" w:hAnsi="Tahoma"/>
                <w:sz w:val="16"/>
                <w:szCs w:val="18"/>
                <w:shd w:fill="auto" w:val="clear"/>
                <w:lang w:val="es-ES" w:eastAsia="en-US"/>
              </w:rPr>
              <w:t>)</w:t>
            </w:r>
          </w:p>
        </w:tc>
        <w:tc>
          <w:tcPr>
            <w:tcW w:w="966" w:type="dxa"/>
            <w:tcBorders>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1</w:t>
            </w:r>
          </w:p>
        </w:tc>
        <w:tc>
          <w:tcPr>
            <w:tcW w:w="1700" w:type="dxa"/>
            <w:tcBorders>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45" w:hRule="atLeast"/>
        </w:trPr>
        <w:tc>
          <w:tcPr>
            <w:tcW w:w="139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numPr>
                <w:ilvl w:val="0"/>
                <w:numId w:val="11"/>
              </w:numPr>
              <w:spacing w:before="0" w:after="0"/>
              <w:ind w:hanging="284" w:left="316" w:right="0"/>
              <w:jc w:val="center"/>
              <w:rPr>
                <w:rFonts w:ascii="Tahoma" w:hAnsi="Tahoma" w:cs="Tahoma"/>
                <w:b/>
                <w:kern w:val="0"/>
                <w:sz w:val="14"/>
                <w:szCs w:val="14"/>
                <w:lang w:bidi="ar-SA"/>
              </w:rPr>
            </w:pPr>
            <w:r>
              <w:rPr>
                <w:rFonts w:cs="Tahoma" w:ascii="Tahoma" w:hAnsi="Tahoma"/>
                <w:b/>
                <w:kern w:val="0"/>
                <w:sz w:val="14"/>
                <w:szCs w:val="14"/>
                <w:lang w:bidi="ar-SA"/>
              </w:rPr>
              <w:t>ENTREVISTA Y/O EXÁMEN</w:t>
            </w:r>
          </w:p>
        </w:tc>
        <w:tc>
          <w:tcPr>
            <w:tcW w:w="5001"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both"/>
              <w:rPr/>
            </w:pPr>
            <w:r>
              <w:rPr>
                <w:rFonts w:eastAsia="Times New Roman" w:cs="Tahoma" w:ascii="Tahoma" w:hAnsi="Tahoma"/>
                <w:b/>
                <w:kern w:val="0"/>
                <w:sz w:val="16"/>
                <w:szCs w:val="16"/>
                <w:shd w:fill="auto" w:val="clear"/>
                <w:lang w:val="es-ES" w:bidi="ar-SA"/>
              </w:rPr>
              <w:t xml:space="preserve">Entrevista y/o Exámen </w:t>
            </w:r>
            <w:r>
              <w:rPr>
                <w:rFonts w:eastAsia="Times New Roman" w:cs="Tahoma" w:ascii="Tahoma" w:hAnsi="Tahoma"/>
                <w:kern w:val="0"/>
                <w:sz w:val="20"/>
                <w:szCs w:val="20"/>
                <w:shd w:fill="auto" w:val="clear"/>
                <w:lang w:val="es-BO" w:bidi="ar-SA"/>
              </w:rPr>
              <w:t>(</w:t>
            </w:r>
            <w:r>
              <w:rPr>
                <w:rFonts w:eastAsia="Times New Roman" w:cs="Tahoma" w:ascii="Tahoma" w:hAnsi="Tahoma"/>
                <w:b/>
                <w:i/>
                <w:kern w:val="0"/>
                <w:sz w:val="16"/>
                <w:szCs w:val="16"/>
                <w:shd w:fill="auto" w:val="clear"/>
                <w:lang w:val="es-BO" w:bidi="ar-SA"/>
              </w:rPr>
              <w:t>Los candidatos seleccionados serán entrevistados y/o tomarán una prueba de conocimientos, por la Comisión de Calificación en instalaciones de la Gerencia Distrital Montero. previo a la fecha de Adjudicación establecido en el cronograma de plazos de la convocatoria)</w:t>
            </w:r>
          </w:p>
          <w:p>
            <w:pPr>
              <w:pStyle w:val="NoSpacing"/>
              <w:widowControl/>
              <w:spacing w:before="0" w:after="0"/>
              <w:jc w:val="left"/>
              <w:rPr>
                <w:rFonts w:ascii="Tahoma" w:hAnsi="Tahoma" w:cs="Tahoma"/>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c>
          <w:tcPr>
            <w:tcW w:w="966" w:type="dxa"/>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kern w:val="0"/>
                <w:sz w:val="16"/>
                <w:szCs w:val="16"/>
                <w:shd w:fill="auto" w:val="clear"/>
                <w:lang w:eastAsia="en-US" w:bidi="ar-SA"/>
              </w:rPr>
            </w:pPr>
            <w:r>
              <w:rPr>
                <w:rFonts w:cs="Tahoma" w:ascii="Tahoma" w:hAnsi="Tahoma"/>
                <w:b/>
                <w:kern w:val="0"/>
                <w:sz w:val="16"/>
                <w:szCs w:val="16"/>
                <w:shd w:fill="auto" w:val="clear"/>
                <w:lang w:eastAsia="en-US" w:bidi="ar-SA"/>
              </w:rPr>
              <w:t>25</w:t>
            </w:r>
          </w:p>
        </w:tc>
        <w:tc>
          <w:tcPr>
            <w:tcW w:w="1700" w:type="dxa"/>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r>
      <w:tr>
        <w:trPr>
          <w:trHeight w:val="45" w:hRule="atLeast"/>
        </w:trPr>
        <w:tc>
          <w:tcPr>
            <w:tcW w:w="6400" w:type="dxa"/>
            <w:gridSpan w:val="2"/>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kern w:val="0"/>
                <w:sz w:val="16"/>
                <w:szCs w:val="16"/>
                <w:lang w:eastAsia="en-US" w:bidi="ar-SA"/>
              </w:rPr>
            </w:pPr>
            <w:r>
              <w:rPr>
                <w:rFonts w:cs="Tahoma" w:ascii="Tahoma" w:hAnsi="Tahoma"/>
                <w:b/>
                <w:kern w:val="0"/>
                <w:sz w:val="16"/>
                <w:szCs w:val="16"/>
                <w:lang w:eastAsia="en-US" w:bidi="ar-SA"/>
              </w:rPr>
              <w:t>TOTAL CONDICIONES ADICIONALES</w:t>
            </w:r>
          </w:p>
        </w:tc>
        <w:tc>
          <w:tcPr>
            <w:tcW w:w="9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35 Puntos</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sz w:val="16"/>
                <w:szCs w:val="16"/>
              </w:rPr>
            </w:pPr>
            <w:r>
              <w:rPr>
                <w:rFonts w:cs="Tahoma" w:ascii="Tahoma" w:hAnsi="Tahoma"/>
                <w:b/>
                <w:sz w:val="16"/>
                <w:szCs w:val="16"/>
              </w:rPr>
            </w:r>
          </w:p>
        </w:tc>
      </w:tr>
    </w:tbl>
    <w:p>
      <w:pPr>
        <w:pStyle w:val="Normal"/>
        <w:rPr>
          <w:sz w:val="8"/>
          <w:szCs w:val="8"/>
        </w:rPr>
      </w:pPr>
      <w:r>
        <w:rPr>
          <w:sz w:val="8"/>
          <w:szCs w:val="8"/>
        </w:rPr>
      </w:r>
    </w:p>
    <w:p>
      <w:pPr>
        <w:pStyle w:val="Normal"/>
        <w:widowControl/>
        <w:shd w:val="clear" w:fill="FFFFFF"/>
        <w:tabs>
          <w:tab w:val="clear" w:pos="709"/>
          <w:tab w:val="left" w:pos="392" w:leader="none"/>
        </w:tabs>
        <w:suppressAutoHyphens w:val="true"/>
        <w:bidi w:val="0"/>
        <w:spacing w:before="40" w:after="40"/>
        <w:ind w:hanging="0" w:left="397" w:right="0"/>
        <w:jc w:val="both"/>
        <w:rPr>
          <w:sz w:val="20"/>
          <w:szCs w:val="20"/>
        </w:rPr>
      </w:pPr>
      <w:r>
        <w:rPr>
          <w:rFonts w:eastAsia="Times New Roman" w:ascii="Tahoma" w:hAnsi="Tahoma"/>
          <w:sz w:val="20"/>
          <w:szCs w:val="20"/>
          <w:shd w:fill="auto" w:val="clear"/>
          <w:lang w:val="es-ES"/>
        </w:rPr>
        <w:t xml:space="preserve">Para la evaluación respectiva, </w:t>
      </w:r>
      <w:r>
        <w:rPr>
          <w:rFonts w:eastAsia="Times New Roman" w:ascii="Tahoma" w:hAnsi="Tahoma"/>
          <w:b/>
          <w:sz w:val="20"/>
          <w:szCs w:val="20"/>
          <w:shd w:fill="auto" w:val="clear"/>
          <w:lang w:val="es-ES"/>
        </w:rPr>
        <w:t>los postulantes deberán</w:t>
      </w:r>
      <w:r>
        <w:rPr>
          <w:rFonts w:eastAsia="Times New Roman" w:ascii="Tahoma" w:hAnsi="Tahoma"/>
          <w:sz w:val="20"/>
          <w:szCs w:val="20"/>
          <w:shd w:fill="auto" w:val="clear"/>
          <w:lang w:val="es-ES"/>
        </w:rPr>
        <w:t> </w:t>
      </w:r>
      <w:r>
        <w:rPr>
          <w:rFonts w:eastAsia="Times New Roman" w:ascii="Tahoma" w:hAnsi="Tahoma"/>
          <w:b/>
          <w:sz w:val="20"/>
          <w:szCs w:val="20"/>
          <w:shd w:fill="auto" w:val="clear"/>
          <w:lang w:val="es-ES"/>
        </w:rPr>
        <w:t>adjuntar los respaldos de la información declarada en los formularios C-1 y C-2</w:t>
      </w:r>
      <w:r>
        <w:rPr>
          <w:rFonts w:eastAsia="Times New Roman" w:ascii="Tahoma" w:hAnsi="Tahoma"/>
          <w:sz w:val="20"/>
          <w:szCs w:val="20"/>
          <w:shd w:fill="auto" w:val="clear"/>
          <w:lang w:val="es-ES"/>
        </w:rPr>
        <w:t xml:space="preserve">, a la propuesta digital. </w:t>
      </w:r>
    </w:p>
    <w:p>
      <w:pPr>
        <w:pStyle w:val="Normal"/>
        <w:widowControl/>
        <w:shd w:val="clear" w:fill="FFFFFF"/>
        <w:suppressAutoHyphens w:val="true"/>
        <w:bidi w:val="0"/>
        <w:spacing w:before="40" w:after="40"/>
        <w:ind w:hanging="0" w:left="397" w:right="0"/>
        <w:jc w:val="both"/>
        <w:rPr>
          <w:rFonts w:eastAsia="Times New Roman"/>
          <w:sz w:val="20"/>
          <w:szCs w:val="20"/>
          <w:lang w:val="es-ES"/>
        </w:rPr>
      </w:pPr>
      <w:r>
        <w:rPr>
          <w:rFonts w:eastAsia="Times New Roman"/>
          <w:sz w:val="20"/>
          <w:szCs w:val="20"/>
          <w:lang w:val="es-ES"/>
        </w:rPr>
      </w:r>
    </w:p>
    <w:p>
      <w:pPr>
        <w:pStyle w:val="Normal"/>
        <w:shd w:val="clear" w:fill="FFFFFF"/>
        <w:spacing w:before="40" w:after="40"/>
        <w:ind w:hanging="0" w:left="340" w:right="0"/>
        <w:jc w:val="both"/>
        <w:rPr>
          <w:sz w:val="20"/>
          <w:szCs w:val="20"/>
        </w:rPr>
      </w:pPr>
      <w:r>
        <w:rPr>
          <w:rFonts w:cs="Tahoma" w:ascii="Tahoma" w:hAnsi="Tahoma"/>
          <w:sz w:val="20"/>
          <w:szCs w:val="20"/>
          <w:lang w:val="es-BO"/>
        </w:rPr>
        <w:t>Cabe señalar que la entrevista será r</w:t>
      </w:r>
      <w:r>
        <w:rPr>
          <w:rFonts w:cs="Tahoma" w:ascii="Tahoma" w:hAnsi="Tahoma"/>
          <w:sz w:val="20"/>
          <w:szCs w:val="20"/>
          <w:shd w:fill="auto" w:val="clear"/>
          <w:lang w:val="es-BO"/>
        </w:rPr>
        <w:t xml:space="preserve">ealizada a aquellos postulantes que hayan cumplido con las condiciones mínimas solicitadas por la entidad, </w:t>
      </w:r>
      <w:r>
        <w:rPr>
          <w:rFonts w:eastAsia="Times New Roman" w:cs="Tahoma" w:ascii="Tahoma" w:hAnsi="Tahoma"/>
          <w:sz w:val="20"/>
          <w:szCs w:val="20"/>
          <w:shd w:fill="auto" w:val="clear"/>
          <w:lang w:val="es-ES"/>
        </w:rPr>
        <w:t xml:space="preserve">y hayan manifestado aceptación a la entrevista, </w:t>
      </w:r>
      <w:r>
        <w:rPr>
          <w:rFonts w:cs="Tahoma" w:ascii="Tahoma" w:hAnsi="Tahoma"/>
          <w:sz w:val="20"/>
          <w:szCs w:val="20"/>
          <w:lang w:val="es-BO"/>
        </w:rPr>
        <w:t>para el efecto personal de la entidad se comunicará con</w:t>
      </w:r>
      <w:r>
        <w:rPr>
          <w:rFonts w:cs="Tahoma" w:ascii="Tahoma" w:hAnsi="Tahoma"/>
          <w:sz w:val="20"/>
          <w:szCs w:val="20"/>
          <w:shd w:fill="auto" w:val="clear"/>
          <w:lang w:val="es-BO"/>
        </w:rPr>
        <w:t xml:space="preserve"> los postulantes habilitados para la entrevista, misma que será efectuada en instalaciones de la Gerencia Distrital Montero del SIN, previo a la fecha de adjudicación establecida en el cronograma</w:t>
      </w:r>
      <w:r>
        <w:rPr>
          <w:rFonts w:cs="Tahoma" w:ascii="Tahoma" w:hAnsi="Tahoma"/>
          <w:sz w:val="20"/>
          <w:szCs w:val="20"/>
          <w:lang w:val="es-BO"/>
        </w:rPr>
        <w:t xml:space="preserve"> de plazos.</w:t>
      </w:r>
    </w:p>
    <w:p>
      <w:pPr>
        <w:pStyle w:val="Normal"/>
        <w:shd w:val="clear" w:fill="FFFFFF"/>
        <w:spacing w:before="40" w:after="40"/>
        <w:ind w:hanging="0" w:left="340" w:right="0"/>
        <w:jc w:val="both"/>
        <w:rPr>
          <w:rFonts w:ascii="Tahoma" w:hAnsi="Tahoma" w:cs="Tahoma"/>
          <w:sz w:val="20"/>
          <w:szCs w:val="20"/>
          <w:lang w:val="es-BO"/>
        </w:rPr>
      </w:pPr>
      <w:r>
        <w:rPr>
          <w:rFonts w:cs="Tahoma" w:ascii="Tahoma" w:hAnsi="Tahoma"/>
          <w:sz w:val="20"/>
          <w:szCs w:val="20"/>
          <w:lang w:val="es-BO"/>
        </w:rPr>
      </w:r>
    </w:p>
    <w:p>
      <w:pPr>
        <w:pStyle w:val="Heading1"/>
        <w:keepNext w:val="false"/>
        <w:keepLines w:val="false"/>
        <w:numPr>
          <w:ilvl w:val="0"/>
          <w:numId w:val="1"/>
        </w:numPr>
        <w:pBdr>
          <w:bottom w:val="single" w:sz="12" w:space="1" w:color="365F91"/>
        </w:pBdr>
        <w:spacing w:before="120" w:after="120"/>
        <w:ind w:hanging="0" w:left="284" w:right="0"/>
        <w:jc w:val="both"/>
        <w:rPr>
          <w:rFonts w:ascii="Tahoma" w:hAnsi="Tahoma" w:cs="Tahoma"/>
          <w:sz w:val="20"/>
          <w:szCs w:val="20"/>
          <w:lang w:val="es-BO"/>
        </w:rPr>
      </w:pPr>
      <w:r>
        <w:rPr>
          <w:rFonts w:cs="Tahoma"/>
          <w:sz w:val="20"/>
          <w:szCs w:val="20"/>
          <w:lang w:val="es-BO"/>
        </w:rPr>
        <w:t>MÉTODO DE SELECCIÓN Y ADJUDICACIÓN</w:t>
      </w:r>
    </w:p>
    <w:p>
      <w:pPr>
        <w:pStyle w:val="Normal"/>
        <w:ind w:hanging="0" w:left="426" w:right="0"/>
        <w:jc w:val="both"/>
        <w:rPr/>
      </w:pPr>
      <w:r>
        <w:rPr>
          <w:rFonts w:cs="Tahoma" w:ascii="Tahoma" w:hAnsi="Tahoma"/>
          <w:sz w:val="20"/>
          <w:szCs w:val="20"/>
        </w:rPr>
        <w:t xml:space="preserve">La adjudicación </w:t>
      </w:r>
      <w:r>
        <w:rPr>
          <w:rFonts w:cs="Tahoma" w:ascii="Tahoma" w:hAnsi="Tahoma"/>
          <w:sz w:val="20"/>
          <w:szCs w:val="20"/>
          <w:shd w:fill="auto" w:val="clear"/>
        </w:rPr>
        <w:t>se</w:t>
      </w:r>
      <w:r>
        <w:rPr>
          <w:rFonts w:cs="Tahoma" w:ascii="Tahoma" w:hAnsi="Tahoma"/>
          <w:sz w:val="20"/>
          <w:szCs w:val="20"/>
          <w:shd w:fill="auto" w:val="clear"/>
          <w:lang w:val="en-US"/>
        </w:rPr>
        <w:t>ra por Item y se</w:t>
      </w:r>
      <w:r>
        <w:rPr>
          <w:rFonts w:cs="Tahoma" w:ascii="Tahoma" w:hAnsi="Tahoma"/>
          <w:sz w:val="20"/>
          <w:szCs w:val="20"/>
          <w:shd w:fill="auto" w:val="clear"/>
        </w:rPr>
        <w:t xml:space="preserve"> realizará por </w:t>
      </w:r>
      <w:r>
        <w:rPr>
          <w:rFonts w:cs="Tahoma" w:ascii="Tahoma" w:hAnsi="Tahoma"/>
          <w:b/>
          <w:sz w:val="20"/>
          <w:szCs w:val="20"/>
          <w:shd w:fill="auto" w:val="clear"/>
        </w:rPr>
        <w:t xml:space="preserve">Presupuesto Fijo </w:t>
      </w:r>
      <w:r>
        <w:rPr>
          <w:rFonts w:cs="Tahoma" w:ascii="Tahoma" w:hAnsi="Tahoma"/>
          <w:sz w:val="20"/>
          <w:szCs w:val="20"/>
          <w:shd w:fill="auto" w:val="clear"/>
        </w:rPr>
        <w:t xml:space="preserve">y se efectuará a la propuesta que cumpla con los requisitos exigidos (de acuerdo a lo establecido en el punto </w:t>
      </w:r>
      <w:r>
        <w:rPr>
          <w:rFonts w:eastAsia="DejaVu Sans" w:cs="Tahoma" w:ascii="Tahoma" w:hAnsi="Tahoma"/>
          <w:color w:val="000000"/>
          <w:kern w:val="0"/>
          <w:sz w:val="20"/>
          <w:szCs w:val="20"/>
          <w:shd w:fill="auto" w:val="clear"/>
          <w:lang w:val="en-US" w:eastAsia="es-ES" w:bidi="ar-SA"/>
        </w:rPr>
        <w:t>20</w:t>
      </w:r>
      <w:r>
        <w:rPr>
          <w:rFonts w:cs="Tahoma" w:ascii="Tahoma" w:hAnsi="Tahoma"/>
          <w:sz w:val="20"/>
          <w:szCs w:val="20"/>
          <w:shd w:fill="auto" w:val="clear"/>
        </w:rPr>
        <w:t xml:space="preserve">) </w:t>
      </w:r>
      <w:r>
        <w:rPr>
          <w:rFonts w:cs="Tahoma" w:ascii="Tahoma" w:hAnsi="Tahoma"/>
          <w:sz w:val="20"/>
          <w:szCs w:val="20"/>
        </w:rPr>
        <w:t>y alcance la mayor calificación. El puntaje mínimo aceptable será de 50 (cincuenta) puntos:</w:t>
      </w:r>
    </w:p>
    <w:p>
      <w:pPr>
        <w:pStyle w:val="Normal"/>
        <w:ind w:hanging="0" w:left="426" w:right="0"/>
        <w:jc w:val="both"/>
        <w:rPr>
          <w:rFonts w:ascii="Tahoma" w:hAnsi="Tahoma" w:cs="Tahoma"/>
          <w:sz w:val="20"/>
          <w:szCs w:val="20"/>
        </w:rPr>
      </w:pPr>
      <w:r>
        <w:rPr>
          <w:rFonts w:cs="Tahoma" w:ascii="Tahoma" w:hAnsi="Tahoma"/>
          <w:sz w:val="20"/>
          <w:szCs w:val="20"/>
        </w:rPr>
      </w:r>
    </w:p>
    <w:tbl>
      <w:tblPr>
        <w:tblW w:w="8643" w:type="dxa"/>
        <w:jc w:val="center"/>
        <w:tblInd w:w="0" w:type="dxa"/>
        <w:tblLayout w:type="fixed"/>
        <w:tblCellMar>
          <w:top w:w="0" w:type="dxa"/>
          <w:left w:w="108" w:type="dxa"/>
          <w:bottom w:w="0" w:type="dxa"/>
          <w:right w:w="108" w:type="dxa"/>
        </w:tblCellMar>
      </w:tblPr>
      <w:tblGrid>
        <w:gridCol w:w="5866"/>
        <w:gridCol w:w="1497"/>
        <w:gridCol w:w="1280"/>
      </w:tblGrid>
      <w:tr>
        <w:trPr>
          <w:trHeight w:val="329" w:hRule="atLeast"/>
        </w:trPr>
        <w:tc>
          <w:tcPr>
            <w:tcW w:w="5866"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CRITERIOS DE EVALUACIÓN</w:t>
            </w:r>
          </w:p>
        </w:tc>
        <w:tc>
          <w:tcPr>
            <w:tcW w:w="1497"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PUNTAJE</w:t>
            </w:r>
          </w:p>
        </w:tc>
        <w:tc>
          <w:tcPr>
            <w:tcW w:w="1280"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PUNTAJE</w:t>
            </w:r>
          </w:p>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TOTAL</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shd w:fill="D8D8D8" w:val="clear"/>
            <w:vAlign w:val="center"/>
          </w:tcPr>
          <w:p>
            <w:pPr>
              <w:pStyle w:val="Normal"/>
              <w:widowControl/>
              <w:spacing w:before="0" w:after="0"/>
              <w:jc w:val="left"/>
              <w:rPr>
                <w:rFonts w:ascii="Tahoma" w:hAnsi="Tahoma" w:eastAsia="Times New Roman" w:cs="Tahoma"/>
                <w:b/>
                <w:bCs/>
                <w:color w:val="000000"/>
                <w:kern w:val="0"/>
                <w:sz w:val="16"/>
                <w:szCs w:val="16"/>
                <w:lang w:val="es-ES" w:bidi="ar-SA"/>
              </w:rPr>
            </w:pPr>
            <w:r>
              <w:rPr>
                <w:rFonts w:eastAsia="Times New Roman" w:cs="Tahoma" w:ascii="Tahoma" w:hAnsi="Tahoma"/>
                <w:b/>
                <w:bCs/>
                <w:color w:val="000000"/>
                <w:kern w:val="0"/>
                <w:sz w:val="16"/>
                <w:szCs w:val="16"/>
                <w:lang w:val="es-ES" w:bidi="ar-SA"/>
              </w:rPr>
              <w:t>CONDICIONES MÍNIMAS</w:t>
            </w:r>
          </w:p>
        </w:tc>
        <w:tc>
          <w:tcPr>
            <w:tcW w:w="1497"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HABILITANTE</w:t>
            </w:r>
          </w:p>
        </w:tc>
        <w:tc>
          <w:tcPr>
            <w:tcW w:w="1280"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35 PUNTOS</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vAlign w:val="center"/>
          </w:tcPr>
          <w:p>
            <w:pPr>
              <w:pStyle w:val="Normal"/>
              <w:widowControl/>
              <w:spacing w:before="0" w:after="0"/>
              <w:jc w:val="left"/>
              <w:rPr>
                <w:rFonts w:ascii="Tahoma" w:hAnsi="Tahoma" w:eastAsia="Times New Roman" w:cs="Tahoma"/>
                <w:b/>
                <w:bCs/>
                <w:kern w:val="0"/>
                <w:sz w:val="16"/>
                <w:szCs w:val="16"/>
                <w:lang w:val="es-ES" w:bidi="ar-SA"/>
              </w:rPr>
            </w:pPr>
            <w:r>
              <w:rPr>
                <w:rFonts w:eastAsia="Times New Roman" w:cs="Tahoma" w:ascii="Tahoma" w:hAnsi="Tahoma"/>
                <w:b/>
                <w:bCs/>
                <w:kern w:val="0"/>
                <w:sz w:val="16"/>
                <w:szCs w:val="16"/>
                <w:lang w:val="es-ES" w:bidi="ar-SA"/>
              </w:rPr>
              <w:t>FORMACIÓN</w:t>
            </w:r>
          </w:p>
        </w:tc>
        <w:tc>
          <w:tcPr>
            <w:tcW w:w="149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12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shd w:fill="D8D8D8" w:val="clear"/>
          </w:tcPr>
          <w:p>
            <w:pPr>
              <w:pStyle w:val="NoSpacing"/>
              <w:widowControl/>
              <w:spacing w:before="0" w:after="0"/>
              <w:jc w:val="left"/>
              <w:rPr>
                <w:rFonts w:ascii="Tahoma" w:hAnsi="Tahoma" w:cs="Tahoma"/>
                <w:b/>
                <w:kern w:val="0"/>
                <w:sz w:val="16"/>
                <w:szCs w:val="16"/>
                <w:lang w:eastAsia="en-US" w:bidi="ar-SA"/>
              </w:rPr>
            </w:pPr>
            <w:r>
              <w:rPr>
                <w:rFonts w:cs="Tahoma" w:ascii="Tahoma" w:hAnsi="Tahoma"/>
                <w:b/>
                <w:kern w:val="0"/>
                <w:sz w:val="16"/>
                <w:szCs w:val="16"/>
                <w:lang w:eastAsia="en-US" w:bidi="ar-SA"/>
              </w:rPr>
              <w:t>CONDICIONES ADICIONALES</w:t>
            </w:r>
          </w:p>
        </w:tc>
        <w:tc>
          <w:tcPr>
            <w:tcW w:w="1497"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sz w:val="16"/>
                <w:szCs w:val="16"/>
              </w:rPr>
            </w:pPr>
            <w:r>
              <w:rPr>
                <w:rFonts w:cs="Tahoma" w:ascii="Tahoma" w:hAnsi="Tahoma"/>
                <w:b/>
                <w:sz w:val="16"/>
                <w:szCs w:val="16"/>
              </w:rPr>
            </w:r>
          </w:p>
        </w:tc>
        <w:tc>
          <w:tcPr>
            <w:tcW w:w="1280"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35 PUNTOS</w:t>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kern w:val="0"/>
                <w:sz w:val="16"/>
                <w:szCs w:val="16"/>
                <w:lang w:eastAsia="en-US" w:bidi="ar-SA"/>
              </w:rPr>
            </w:pPr>
            <w:r>
              <w:rPr>
                <w:rFonts w:cs="Tahoma" w:ascii="Tahoma" w:hAnsi="Tahoma"/>
                <w:b/>
                <w:kern w:val="0"/>
                <w:sz w:val="16"/>
                <w:szCs w:val="16"/>
                <w:lang w:eastAsia="en-US" w:bidi="ar-SA"/>
              </w:rPr>
              <w:t>FORMACIÓN ADICIONAL</w:t>
            </w:r>
          </w:p>
        </w:tc>
        <w:tc>
          <w:tcPr>
            <w:tcW w:w="1497"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10</w:t>
            </w:r>
          </w:p>
        </w:tc>
        <w:tc>
          <w:tcPr>
            <w:tcW w:w="12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both"/>
              <w:rPr/>
            </w:pPr>
            <w:r>
              <w:rPr>
                <w:rFonts w:eastAsia="Times New Roman" w:cs="Tahoma" w:ascii="Tahoma" w:hAnsi="Tahoma"/>
                <w:b/>
                <w:kern w:val="0"/>
                <w:sz w:val="16"/>
                <w:szCs w:val="16"/>
                <w:lang w:val="es-ES" w:bidi="ar-SA"/>
              </w:rPr>
              <w:t xml:space="preserve">ENTREVISTA </w:t>
            </w:r>
            <w:r>
              <w:rPr>
                <w:rFonts w:eastAsia="Times New Roman" w:cs="Tahoma" w:ascii="Tahoma" w:hAnsi="Tahoma"/>
                <w:b/>
                <w:kern w:val="0"/>
                <w:sz w:val="16"/>
                <w:szCs w:val="16"/>
                <w:lang w:val="es-BO" w:bidi="ar-SA"/>
              </w:rPr>
              <w:t>Y/O EXAMEN</w:t>
            </w:r>
          </w:p>
        </w:tc>
        <w:tc>
          <w:tcPr>
            <w:tcW w:w="1497"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25</w:t>
            </w:r>
          </w:p>
        </w:tc>
        <w:tc>
          <w:tcPr>
            <w:tcW w:w="12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7363" w:type="dxa"/>
            <w:gridSpan w:val="2"/>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Cs/>
                <w:kern w:val="0"/>
                <w:sz w:val="16"/>
                <w:szCs w:val="16"/>
                <w:lang w:eastAsia="en-US" w:bidi="ar-SA"/>
              </w:rPr>
            </w:pPr>
            <w:r>
              <w:rPr>
                <w:rFonts w:cs="Tahoma" w:ascii="Tahoma" w:hAnsi="Tahoma"/>
                <w:b/>
                <w:bCs/>
                <w:kern w:val="0"/>
                <w:sz w:val="16"/>
                <w:szCs w:val="16"/>
                <w:lang w:eastAsia="en-US" w:bidi="ar-SA"/>
              </w:rPr>
              <w:t>TOTAL EVALUACIÓN</w:t>
            </w:r>
          </w:p>
        </w:tc>
        <w:tc>
          <w:tcPr>
            <w:tcW w:w="1280"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70  PUNTOS</w:t>
            </w:r>
          </w:p>
        </w:tc>
      </w:tr>
    </w:tbl>
    <w:p>
      <w:pPr>
        <w:pStyle w:val="Normal"/>
        <w:ind w:hanging="0" w:left="426" w:right="0"/>
        <w:jc w:val="both"/>
        <w:rPr>
          <w:rFonts w:ascii="Tahoma" w:hAnsi="Tahoma" w:cs="Tahoma"/>
          <w:bCs/>
          <w:iCs/>
          <w:sz w:val="20"/>
          <w:szCs w:val="20"/>
        </w:rPr>
      </w:pPr>
      <w:r>
        <w:rPr>
          <w:rFonts w:cs="Tahoma" w:ascii="Tahoma" w:hAnsi="Tahoma"/>
          <w:bCs/>
          <w:iCs/>
          <w:sz w:val="20"/>
          <w:szCs w:val="20"/>
        </w:rPr>
      </w:r>
    </w:p>
    <w:p>
      <w:pPr>
        <w:pStyle w:val="Normal"/>
        <w:tabs>
          <w:tab w:val="clear" w:pos="709"/>
          <w:tab w:val="left" w:pos="1906" w:leader="none"/>
          <w:tab w:val="right" w:pos="6946" w:leader="none"/>
        </w:tabs>
        <w:ind w:hanging="0" w:left="142" w:right="0"/>
        <w:rPr>
          <w:rFonts w:ascii="Tahoma" w:hAnsi="Tahoma" w:cs="Tahoma"/>
          <w:sz w:val="10"/>
          <w:szCs w:val="10"/>
          <w:lang w:val="es-BO"/>
        </w:rPr>
      </w:pPr>
      <w:r>
        <w:rPr>
          <w:rFonts w:cs="Tahoma" w:ascii="Tahoma" w:hAnsi="Tahoma"/>
          <w:sz w:val="10"/>
          <w:szCs w:val="10"/>
          <w:lang w:val="es-BO"/>
        </w:rPr>
      </w:r>
    </w:p>
    <w:p>
      <w:pPr>
        <w:pStyle w:val="Normal"/>
        <w:tabs>
          <w:tab w:val="clear" w:pos="709"/>
          <w:tab w:val="left" w:pos="1906" w:leader="none"/>
          <w:tab w:val="right" w:pos="6946" w:leader="none"/>
        </w:tabs>
        <w:ind w:hanging="0" w:left="142" w:right="0"/>
        <w:rPr>
          <w:rFonts w:ascii="Tahoma" w:hAnsi="Tahoma" w:cs="Tahoma"/>
          <w:sz w:val="10"/>
          <w:szCs w:val="10"/>
          <w:lang w:val="es-BO"/>
        </w:rPr>
      </w:pPr>
      <w:r>
        <w:rPr>
          <w:rFonts w:cs="Tahoma" w:ascii="Tahoma" w:hAnsi="Tahoma"/>
          <w:sz w:val="10"/>
          <w:szCs w:val="10"/>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szCs w:val="18"/>
          <w:lang w:val="es-BO"/>
        </w:rPr>
      </w:pPr>
      <w:r>
        <w:rPr>
          <w:rFonts w:cs="Arial"/>
          <w:b/>
          <w:szCs w:val="18"/>
          <w:lang w:val="es-BO"/>
        </w:rPr>
        <w:t>P</w:t>
      </w:r>
      <w:bookmarkStart w:id="127" w:name="_Toc347485812"/>
      <w:bookmarkStart w:id="128" w:name="_Toc355779900"/>
      <w:r>
        <w:rPr>
          <w:rFonts w:cs="Arial"/>
          <w:b/>
          <w:szCs w:val="18"/>
          <w:lang w:val="es-BO"/>
        </w:rPr>
        <w:t>ARTE III</w:t>
      </w:r>
      <w:bookmarkEnd w:id="127"/>
      <w:bookmarkEnd w:id="128"/>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4"/>
        <w:gridCol w:w="416"/>
        <w:gridCol w:w="37"/>
        <w:gridCol w:w="361"/>
        <w:gridCol w:w="401"/>
        <w:gridCol w:w="399"/>
        <w:gridCol w:w="401"/>
        <w:gridCol w:w="399"/>
        <w:gridCol w:w="414"/>
        <w:gridCol w:w="398"/>
        <w:gridCol w:w="404"/>
        <w:gridCol w:w="396"/>
        <w:gridCol w:w="434"/>
        <w:gridCol w:w="428"/>
        <w:gridCol w:w="401"/>
        <w:gridCol w:w="235"/>
        <w:gridCol w:w="415"/>
        <w:gridCol w:w="241"/>
        <w:gridCol w:w="361"/>
        <w:gridCol w:w="73"/>
        <w:gridCol w:w="229"/>
        <w:gridCol w:w="21"/>
      </w:tblGrid>
      <w:tr>
        <w:trPr>
          <w:trHeight w:val="305" w:hRule="atLeast"/>
        </w:trPr>
        <w:tc>
          <w:tcPr>
            <w:tcW w:w="10167"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Cs/>
                <w:sz w:val="16"/>
                <w:lang w:val="es-BO"/>
              </w:rPr>
            </w:pPr>
            <w:r>
              <w:rPr>
                <w:rFonts w:cs="Arial" w:ascii="Arial" w:hAnsi="Arial"/>
                <w:b/>
                <w:bCs/>
                <w:sz w:val="16"/>
                <w:lang w:val="es-BO"/>
              </w:rPr>
              <w:t>DATOS DEL OBJETO DE LA CONTRATACIÓN</w:t>
            </w:r>
          </w:p>
        </w:tc>
        <w:tc>
          <w:tcPr>
            <w:tcW w:w="21" w:type="dxa"/>
            <w:tcBorders/>
          </w:tcPr>
          <w:p>
            <w:pPr>
              <w:pStyle w:val="Normal"/>
              <w:rPr/>
            </w:pPr>
            <w:r>
              <w:rPr/>
            </w:r>
          </w:p>
        </w:tc>
      </w:tr>
      <w:tr>
        <w:trPr>
          <w:trHeight w:val="35" w:hRule="atLeast"/>
        </w:trPr>
        <w:tc>
          <w:tcPr>
            <w:tcW w:w="10167"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sz w:val="8"/>
                <w:lang w:val="es-BO"/>
              </w:rPr>
            </w:r>
          </w:p>
        </w:tc>
        <w:tc>
          <w:tcPr>
            <w:tcW w:w="21" w:type="dxa"/>
            <w:tcBorders/>
          </w:tcPr>
          <w:p>
            <w:pPr>
              <w:pStyle w:val="Normal"/>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0"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5" w:type="dxa"/>
            <w:gridSpan w:val="24"/>
            <w:tcBorders>
              <w:left w:val="single" w:sz="12" w:space="0" w:color="244061"/>
            </w:tcBorders>
            <w:shd w:color="auto" w:fill="auto" w:val="clear"/>
            <w:vAlign w:val="center"/>
          </w:tcPr>
          <w:p>
            <w:pPr>
              <w:pStyle w:val="Normal"/>
              <w:rPr>
                <w:sz w:val="8"/>
                <w:lang w:val="es-BO"/>
              </w:rPr>
            </w:pPr>
            <w:r>
              <w:rPr>
                <w:sz w:val="8"/>
                <w:lang w:val="es-BO"/>
              </w:rPr>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r>
          </w:p>
        </w:tc>
        <w:tc>
          <w:tcPr>
            <w:tcW w:w="21" w:type="dxa"/>
            <w:tcBorders/>
          </w:tcPr>
          <w:p>
            <w:pPr>
              <w:pStyle w:val="Normal"/>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SEÑALAR EL OBJETO DE LA CONTRATACIÓN:</w:t>
            </w:r>
          </w:p>
        </w:tc>
        <w:tc>
          <w:tcPr>
            <w:tcW w:w="6088"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Cs/>
                <w:lang w:val="es-BO"/>
              </w:rPr>
            </w:pPr>
            <w:r>
              <w:rPr>
                <w:rFonts w:cs="Arial" w:ascii="Arial" w:hAnsi="Arial"/>
                <w:b/>
                <w:bCs/>
                <w:lang w:val="es-BO"/>
              </w:rPr>
            </w:r>
          </w:p>
        </w:tc>
        <w:tc>
          <w:tcPr>
            <w:tcW w:w="302" w:type="dxa"/>
            <w:gridSpan w:val="2"/>
            <w:tcBorders>
              <w:right w:val="single" w:sz="12" w:space="0" w:color="244061"/>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1" w:type="dxa"/>
            <w:tcBorders/>
          </w:tcPr>
          <w:p>
            <w:pPr>
              <w:pStyle w:val="Normal"/>
              <w:rPr/>
            </w:pPr>
            <w:r>
              <w:rPr/>
            </w:r>
          </w:p>
        </w:tc>
      </w:tr>
      <w:tr>
        <w:trPr>
          <w:trHeight w:val="46" w:hRule="atLeast"/>
        </w:trPr>
        <w:tc>
          <w:tcPr>
            <w:tcW w:w="10167"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1"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5"/>
        <w:gridCol w:w="335"/>
        <w:gridCol w:w="390"/>
        <w:gridCol w:w="279"/>
        <w:gridCol w:w="363"/>
        <w:gridCol w:w="375"/>
        <w:gridCol w:w="319"/>
        <w:gridCol w:w="372"/>
        <w:gridCol w:w="374"/>
        <w:gridCol w:w="6"/>
        <w:gridCol w:w="311"/>
        <w:gridCol w:w="376"/>
        <w:gridCol w:w="369"/>
        <w:gridCol w:w="373"/>
        <w:gridCol w:w="374"/>
        <w:gridCol w:w="369"/>
        <w:gridCol w:w="374"/>
        <w:gridCol w:w="321"/>
        <w:gridCol w:w="370"/>
        <w:gridCol w:w="321"/>
        <w:gridCol w:w="370"/>
        <w:gridCol w:w="25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35"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79"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17" w:type="dxa"/>
            <w:gridSpan w:val="2"/>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69"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69"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59" w:type="dxa"/>
            <w:tcBorders>
              <w:right w:val="single" w:sz="12" w:space="0" w:color="000000"/>
            </w:tcBorders>
            <w:shd w:color="auto" w:fill="auto" w:val="clear"/>
            <w:vAlign w:val="center"/>
          </w:tcPr>
          <w:p>
            <w:pPr>
              <w:pStyle w:val="Normal"/>
              <w:rPr>
                <w:sz w:val="2"/>
                <w:szCs w:val="2"/>
                <w:lang w:val="es-BO"/>
              </w:rPr>
            </w:pPr>
            <w:r>
              <w:rPr>
                <w:sz w:val="2"/>
                <w:szCs w:val="2"/>
                <w:lang w:val="es-BO"/>
              </w:rPr>
            </w:r>
          </w:p>
        </w:tc>
      </w:tr>
      <w:tr>
        <w:trPr>
          <w:trHeight w:val="298" w:hRule="atLeast"/>
        </w:trPr>
        <w:tc>
          <w:tcPr>
            <w:tcW w:w="3011"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Nombre del proponente:</w:t>
            </w:r>
          </w:p>
        </w:tc>
        <w:tc>
          <w:tcPr>
            <w:tcW w:w="6406"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7"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70" w:hRule="atLeast"/>
        </w:trPr>
        <w:tc>
          <w:tcPr>
            <w:tcW w:w="3011" w:type="dxa"/>
            <w:gridSpan w:val="9"/>
            <w:vMerge w:val="restart"/>
            <w:tcBorders>
              <w:lef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8"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158" w:hRule="atLeast"/>
        </w:trPr>
        <w:tc>
          <w:tcPr>
            <w:tcW w:w="3011"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6"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5"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216" w:hRule="atLeast"/>
        </w:trPr>
        <w:tc>
          <w:tcPr>
            <w:tcW w:w="3011"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6"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85"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Cs/>
                <w:lang w:val="es-BO"/>
              </w:rPr>
            </w:pPr>
            <w:r>
              <w:rPr>
                <w:rFonts w:cs="Arial" w:ascii="Arial" w:hAnsi="Arial"/>
                <w:b/>
                <w:bCs/>
                <w:lang w:val="es-BO"/>
              </w:rPr>
              <w:t>Domicilio:</w:t>
            </w:r>
          </w:p>
        </w:tc>
        <w:tc>
          <w:tcPr>
            <w:tcW w:w="6746"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r>
          </w:p>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46"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9"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7"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Teléfonos</w:t>
            </w:r>
          </w:p>
        </w:tc>
        <w:tc>
          <w:tcPr>
            <w:tcW w:w="375"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6"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9"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5"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7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7"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9"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7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7"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98" w:hRule="atLeast"/>
        </w:trPr>
        <w:tc>
          <w:tcPr>
            <w:tcW w:w="3011" w:type="dxa"/>
            <w:gridSpan w:val="9"/>
            <w:vMerge w:val="restart"/>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71" w:hRule="atLeast"/>
        </w:trPr>
        <w:tc>
          <w:tcPr>
            <w:tcW w:w="3011"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7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7"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r>
      <w:tr>
        <w:trPr>
          <w:trHeight w:val="267" w:hRule="atLeast"/>
        </w:trPr>
        <w:tc>
          <w:tcPr>
            <w:tcW w:w="3011"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1754"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669"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7"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59" w:type="dxa"/>
            <w:tcBorders>
              <w:bottom w:val="single" w:sz="12" w:space="0" w:color="000000"/>
              <w:right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8"/>
              </w:numPr>
              <w:suppressAutoHyphens w:val="true"/>
              <w:spacing w:lineRule="exact" w:line="200" w:before="0" w:after="0"/>
              <w:ind w:hanging="283" w:lef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ind w:hanging="0" w:left="426" w:right="0"/>
              <w:jc w:val="both"/>
              <w:rPr>
                <w:highlight w:val="none"/>
                <w:shd w:fill="auto" w:val="clear"/>
              </w:rPr>
            </w:pPr>
            <w:r>
              <w:rPr>
                <w:rFonts w:eastAsia="Times New Roman" w:cs="Tahoma" w:ascii="Tahoma" w:hAnsi="Tahoma"/>
                <w:b w:val="false"/>
                <w:bCs w:val="false"/>
                <w:kern w:val="0"/>
                <w:sz w:val="20"/>
                <w:szCs w:val="20"/>
                <w:shd w:fill="auto" w:val="clear"/>
                <w:lang w:val="es-BO" w:eastAsia="es-BO" w:bidi="ar-SA"/>
              </w:rPr>
              <w:t>Egresado(a) universitario(a) o Técnico Superior en: Auditoría Financiera</w:t>
            </w:r>
            <w:r>
              <w:rPr>
                <w:rFonts w:eastAsia="Times New Roman" w:cs="Tahoma" w:ascii="Tahoma" w:hAnsi="Tahoma"/>
                <w:b w:val="false"/>
                <w:bCs w:val="false"/>
                <w:kern w:val="0"/>
                <w:sz w:val="20"/>
                <w:szCs w:val="20"/>
                <w:shd w:fill="auto" w:val="clear"/>
                <w:lang w:val="en-US" w:eastAsia="es-BO" w:bidi="ar-SA"/>
              </w:rPr>
              <w:t>,</w:t>
            </w:r>
            <w:r>
              <w:rPr>
                <w:rFonts w:eastAsia="Times New Roman" w:cs="Tahoma" w:ascii="Tahoma" w:hAnsi="Tahoma"/>
                <w:b w:val="false"/>
                <w:bCs w:val="false"/>
                <w:kern w:val="0"/>
                <w:sz w:val="20"/>
                <w:szCs w:val="20"/>
                <w:shd w:fill="auto" w:val="clear"/>
                <w:lang w:val="es-BO" w:eastAsia="es-BO" w:bidi="ar-SA"/>
              </w:rPr>
              <w:t xml:space="preserve"> Contaduría Pública</w:t>
            </w:r>
            <w:r>
              <w:rPr>
                <w:rFonts w:eastAsia="Times New Roman" w:cs="Tahoma" w:ascii="Tahoma" w:hAnsi="Tahoma"/>
                <w:b w:val="false"/>
                <w:bCs w:val="false"/>
                <w:kern w:val="0"/>
                <w:sz w:val="20"/>
                <w:szCs w:val="20"/>
                <w:shd w:fill="auto" w:val="clear"/>
                <w:lang w:val="en-US" w:eastAsia="es-BO" w:bidi="ar-SA"/>
              </w:rPr>
              <w:t>,</w:t>
            </w:r>
            <w:r>
              <w:rPr>
                <w:rFonts w:eastAsia="Times New Roman" w:cs="Tahoma" w:ascii="Tahoma" w:hAnsi="Tahoma"/>
                <w:b w:val="false"/>
                <w:bCs w:val="false"/>
                <w:kern w:val="0"/>
                <w:sz w:val="20"/>
                <w:szCs w:val="20"/>
                <w:shd w:fill="auto" w:val="clear"/>
                <w:lang w:val="es-BO" w:eastAsia="es-BO" w:bidi="ar-SA"/>
              </w:rPr>
              <w:t xml:space="preserve"> Ingeniería Financiera</w:t>
            </w:r>
            <w:r>
              <w:rPr>
                <w:rFonts w:eastAsia="Times New Roman" w:cs="Tahoma" w:ascii="Tahoma" w:hAnsi="Tahoma"/>
                <w:b w:val="false"/>
                <w:bCs w:val="false"/>
                <w:kern w:val="0"/>
                <w:sz w:val="20"/>
                <w:szCs w:val="20"/>
                <w:shd w:fill="auto" w:val="clear"/>
                <w:lang w:val="en-US" w:eastAsia="es-BO" w:bidi="ar-SA"/>
              </w:rPr>
              <w:t xml:space="preserve"> o</w:t>
            </w:r>
            <w:r>
              <w:rPr>
                <w:rFonts w:eastAsia="Times New Roman" w:cs="Tahoma" w:ascii="Tahoma" w:hAnsi="Tahoma"/>
                <w:b w:val="false"/>
                <w:bCs w:val="false"/>
                <w:kern w:val="0"/>
                <w:sz w:val="20"/>
                <w:szCs w:val="20"/>
                <w:shd w:fill="auto" w:val="clear"/>
                <w:lang w:val="es-BO" w:eastAsia="es-BO" w:bidi="ar-SA"/>
              </w:rPr>
              <w:t xml:space="preserve"> Economía</w:t>
            </w:r>
            <w:r>
              <w:rPr>
                <w:rFonts w:eastAsia="Times New Roman" w:cs="Tahoma" w:ascii="Tahoma" w:hAnsi="Tahoma"/>
                <w:b w:val="false"/>
                <w:bCs w:val="false"/>
                <w:kern w:val="0"/>
                <w:sz w:val="20"/>
                <w:szCs w:val="20"/>
                <w:shd w:fill="auto" w:val="clear"/>
                <w:lang w:val="en-US" w:eastAsia="es-BO" w:bidi="ar-SA"/>
              </w:rPr>
              <w:t xml:space="preserve"> o </w:t>
            </w:r>
            <w:r>
              <w:rPr>
                <w:rFonts w:eastAsia="Times New Roman" w:cs="Tahoma" w:ascii="Tahoma" w:hAnsi="Tahoma"/>
                <w:b w:val="false"/>
                <w:bCs w:val="false"/>
                <w:kern w:val="0"/>
                <w:sz w:val="20"/>
                <w:szCs w:val="20"/>
                <w:shd w:fill="auto" w:val="clear"/>
                <w:lang w:val="es-BO" w:eastAsia="es-BO" w:bidi="ar-SA"/>
              </w:rPr>
              <w:t>Ingeniería Económica</w:t>
            </w:r>
            <w:r>
              <w:rPr>
                <w:rFonts w:eastAsia="Times New Roman" w:cs="Tahoma" w:ascii="Tahoma" w:hAnsi="Tahoma"/>
                <w:b w:val="false"/>
                <w:bCs w:val="false"/>
                <w:kern w:val="0"/>
                <w:sz w:val="20"/>
                <w:szCs w:val="20"/>
                <w:shd w:fill="auto" w:val="clear"/>
                <w:lang w:val="en-US" w:eastAsia="es-BO" w:bidi="ar-SA"/>
              </w:rPr>
              <w:t>,</w:t>
            </w:r>
            <w:r>
              <w:rPr>
                <w:rFonts w:eastAsia="Times New Roman" w:cs="Tahoma" w:ascii="Tahoma" w:hAnsi="Tahoma"/>
                <w:b w:val="false"/>
                <w:bCs w:val="false"/>
                <w:kern w:val="0"/>
                <w:sz w:val="20"/>
                <w:szCs w:val="20"/>
                <w:shd w:fill="auto" w:val="clear"/>
                <w:lang w:val="es-BO" w:eastAsia="es-BO" w:bidi="ar-SA"/>
              </w:rPr>
              <w:t xml:space="preserve"> Administración de Empresas</w:t>
            </w:r>
            <w:r>
              <w:rPr>
                <w:rFonts w:eastAsia="Times New Roman" w:cs="Tahoma" w:ascii="Tahoma" w:hAnsi="Tahoma"/>
                <w:b w:val="false"/>
                <w:bCs w:val="false"/>
                <w:kern w:val="0"/>
                <w:sz w:val="20"/>
                <w:szCs w:val="20"/>
                <w:shd w:fill="auto" w:val="clear"/>
                <w:lang w:val="en-US" w:eastAsia="es-BO" w:bidi="ar-SA"/>
              </w:rPr>
              <w:t xml:space="preserve"> o</w:t>
            </w:r>
            <w:r>
              <w:rPr>
                <w:rFonts w:eastAsia="Times New Roman" w:cs="Tahoma" w:ascii="Tahoma" w:hAnsi="Tahoma"/>
                <w:b w:val="false"/>
                <w:bCs w:val="false"/>
                <w:kern w:val="0"/>
                <w:sz w:val="20"/>
                <w:szCs w:val="20"/>
                <w:shd w:fill="auto" w:val="clear"/>
                <w:lang w:val="es-BO" w:eastAsia="es-BO" w:bidi="ar-SA"/>
              </w:rPr>
              <w:t xml:space="preserve"> Administración Financiera </w:t>
            </w:r>
            <w:r>
              <w:rPr>
                <w:rFonts w:eastAsia="Times New Roman" w:cs="Tahoma" w:ascii="Tahoma" w:hAnsi="Tahoma"/>
                <w:b w:val="false"/>
                <w:bCs w:val="false"/>
                <w:kern w:val="0"/>
                <w:sz w:val="20"/>
                <w:szCs w:val="20"/>
                <w:shd w:fill="auto" w:val="clear"/>
                <w:lang w:val="en-US" w:eastAsia="es-BO" w:bidi="ar-SA"/>
              </w:rPr>
              <w:t>o</w:t>
            </w:r>
            <w:r>
              <w:rPr>
                <w:rFonts w:eastAsia="Times New Roman" w:cs="Tahoma" w:ascii="Tahoma" w:hAnsi="Tahoma"/>
                <w:b w:val="false"/>
                <w:bCs w:val="false"/>
                <w:kern w:val="0"/>
                <w:sz w:val="20"/>
                <w:szCs w:val="20"/>
                <w:shd w:fill="auto" w:val="clear"/>
                <w:lang w:val="es-BO" w:eastAsia="es-BO" w:bidi="ar-SA"/>
              </w:rPr>
              <w:t xml:space="preserve"> Ingeniería Comercial (Habilitante).</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8"/>
              </w:numPr>
              <w:suppressAutoHyphens w:val="true"/>
              <w:spacing w:lineRule="exact" w:line="200" w:before="0" w:after="0"/>
              <w:ind w:hanging="283" w:lef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suppressAutoHyphens w:val="true"/>
              <w:spacing w:lineRule="exact" w:line="200" w:before="0" w:after="0"/>
              <w:rPr>
                <w:rFonts w:cs="Arial"/>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6"/>
        <w:gridCol w:w="2324"/>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4"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55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445"/>
        <w:gridCol w:w="4218"/>
        <w:gridCol w:w="1394"/>
        <w:gridCol w:w="2494"/>
      </w:tblGrid>
      <w:tr>
        <w:trPr>
          <w:tblHeader w:val="true"/>
          <w:trHeight w:val="655" w:hRule="atLeast"/>
        </w:trPr>
        <w:tc>
          <w:tcPr>
            <w:tcW w:w="7057"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sz w:val="16"/>
                <w:lang w:val="es-BO"/>
              </w:rPr>
            </w:pPr>
            <w:r>
              <w:rPr>
                <w:rFonts w:cs="Tahoma" w:ascii="Tahoma" w:hAnsi="Tahoma"/>
                <w:b/>
                <w:sz w:val="16"/>
                <w:lang w:val="es-BO"/>
              </w:rPr>
              <w:t>Para ser llenado por la Entidad convocante</w:t>
            </w:r>
          </w:p>
          <w:p>
            <w:pPr>
              <w:pStyle w:val="Normal"/>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4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1445"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w:t>
            </w:r>
          </w:p>
        </w:tc>
        <w:tc>
          <w:tcPr>
            <w:tcW w:w="4218"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Condiciones Adicionales a ser evaluadas (*)</w:t>
            </w:r>
          </w:p>
        </w:tc>
        <w:tc>
          <w:tcPr>
            <w:tcW w:w="139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i/>
                <w:i/>
                <w:sz w:val="16"/>
                <w:lang w:val="es-BO"/>
              </w:rPr>
            </w:pPr>
            <w:r>
              <w:rPr>
                <w:rFonts w:cs="Tahoma" w:ascii="Tahoma" w:hAnsi="Tahoma"/>
                <w:b/>
                <w:sz w:val="16"/>
                <w:lang w:val="es-BO"/>
              </w:rPr>
              <w:t>Puntaje asignado (definir puntaje) (**)</w:t>
            </w:r>
          </w:p>
        </w:tc>
        <w:tc>
          <w:tcPr>
            <w:tcW w:w="24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1445"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numPr>
                <w:ilvl w:val="0"/>
                <w:numId w:val="0"/>
              </w:numPr>
              <w:spacing w:before="0" w:after="0"/>
              <w:ind w:hanging="0" w:left="316" w:right="0"/>
              <w:jc w:val="left"/>
              <w:rPr>
                <w:highlight w:val="none"/>
                <w:shd w:fill="auto" w:val="clear"/>
              </w:rPr>
            </w:pPr>
            <w:r>
              <w:rPr>
                <w:rFonts w:cs="Tahoma" w:ascii="Tahoma" w:hAnsi="Tahoma"/>
                <w:b/>
                <w:kern w:val="0"/>
                <w:sz w:val="16"/>
                <w:szCs w:val="14"/>
                <w:shd w:fill="auto" w:val="clear"/>
                <w:lang w:val="es-BO" w:eastAsia="en-US" w:bidi="ar-SA"/>
              </w:rPr>
              <w:t>FORMACIÓN ADICIONAL</w:t>
            </w:r>
          </w:p>
        </w:tc>
        <w:tc>
          <w:tcPr>
            <w:tcW w:w="4218" w:type="dxa"/>
            <w:tcBorders>
              <w:top w:val="single" w:sz="4" w:space="0" w:color="000000"/>
              <w:left w:val="single" w:sz="4" w:space="0" w:color="000000"/>
              <w:bottom w:val="single" w:sz="4" w:space="0" w:color="000000"/>
              <w:right w:val="single" w:sz="4" w:space="0" w:color="000000"/>
            </w:tcBorders>
            <w:vAlign w:val="center"/>
          </w:tcPr>
          <w:p>
            <w:pPr>
              <w:pStyle w:val="Normal"/>
              <w:jc w:val="left"/>
              <w:rPr>
                <w:highlight w:val="none"/>
                <w:shd w:fill="auto" w:val="clear"/>
              </w:rPr>
            </w:pPr>
            <w:r>
              <w:rPr>
                <w:rFonts w:cs="Tahoma" w:ascii="Tahoma" w:hAnsi="Tahoma"/>
                <w:b/>
                <w:bCs/>
                <w:color w:val="000000"/>
                <w:sz w:val="16"/>
                <w:shd w:fill="auto" w:val="clear"/>
                <w:lang w:val="es-BO" w:eastAsia="es-BO"/>
              </w:rPr>
              <w:t>FORMACIÓN ADICIONAL</w:t>
            </w:r>
          </w:p>
        </w:tc>
        <w:tc>
          <w:tcPr>
            <w:tcW w:w="1394"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16"/>
                <w:highlight w:val="yellow"/>
                <w:lang w:val="es-BO"/>
              </w:rPr>
            </w:pPr>
            <w:r>
              <w:rPr>
                <w:rFonts w:cs="Tahoma" w:ascii="Tahoma" w:hAnsi="Tahoma"/>
                <w:b/>
                <w:sz w:val="16"/>
                <w:highlight w:val="yellow"/>
                <w:lang w:val="es-BO"/>
              </w:rPr>
            </w:r>
          </w:p>
        </w:tc>
        <w:tc>
          <w:tcPr>
            <w:tcW w:w="2494"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1445"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18" w:type="dxa"/>
            <w:tcBorders>
              <w:top w:val="single" w:sz="8"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394" w:type="dxa"/>
            <w:tcBorders>
              <w:top w:val="single" w:sz="8"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4</w:t>
            </w:r>
          </w:p>
        </w:tc>
        <w:tc>
          <w:tcPr>
            <w:tcW w:w="2494"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445"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18" w:type="dxa"/>
            <w:tcBorders>
              <w:top w:val="single" w:sz="4"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394"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2</w:t>
            </w:r>
          </w:p>
        </w:tc>
        <w:tc>
          <w:tcPr>
            <w:tcW w:w="2494"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1445"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18" w:type="dxa"/>
            <w:tcBorders>
              <w:top w:val="single" w:sz="4"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hanging="0" w:left="0" w:right="57"/>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394"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2</w:t>
            </w:r>
          </w:p>
        </w:tc>
        <w:tc>
          <w:tcPr>
            <w:tcW w:w="2494"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1445" w:type="dxa"/>
            <w:vMerge w:val="continue"/>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18" w:type="dxa"/>
            <w:tcBorders>
              <w:left w:val="single" w:sz="8" w:space="0" w:color="000000"/>
              <w:bottom w:val="single" w:sz="8" w:space="0" w:color="000000"/>
              <w:right w:val="single" w:sz="8" w:space="0" w:color="000000"/>
            </w:tcBorders>
          </w:tcPr>
          <w:p>
            <w:pPr>
              <w:pStyle w:val="Normal"/>
              <w:widowControl w:val="false"/>
              <w:rPr>
                <w:szCs w:val="22"/>
                <w:shd w:fill="auto" w:val="clear"/>
                <w:lang w:val="es-ES" w:eastAsia="en-US"/>
              </w:rPr>
            </w:pPr>
            <w:r>
              <w:rPr>
                <w:rFonts w:cs="Tahoma" w:ascii="Tahoma" w:hAnsi="Tahoma"/>
                <w:sz w:val="16"/>
                <w:szCs w:val="18"/>
                <w:shd w:fill="auto" w:val="clear"/>
                <w:lang w:val="es-ES" w:eastAsia="en-US"/>
              </w:rPr>
              <w:t xml:space="preserve"> </w:t>
            </w:r>
            <w:r>
              <w:rPr>
                <w:rFonts w:cs="Tahoma" w:ascii="Tahoma" w:hAnsi="Tahoma"/>
                <w:sz w:val="16"/>
                <w:szCs w:val="18"/>
                <w:shd w:fill="auto" w:val="clear"/>
                <w:lang w:val="es-ES" w:eastAsia="en-US"/>
              </w:rPr>
              <w:t>Curso o Taller en herramientas Ofimática (</w:t>
            </w:r>
            <w:r>
              <w:rPr>
                <w:rFonts w:eastAsia="Tahoma" w:cs="Verdana"/>
                <w:color w:val="000000"/>
                <w:kern w:val="0"/>
                <w:sz w:val="16"/>
                <w:szCs w:val="16"/>
                <w:shd w:fill="auto" w:val="clear"/>
                <w:lang w:val="es-ES" w:eastAsia="zh-CN" w:bidi="ar-SA"/>
              </w:rPr>
              <w:t>LibreOffice Writer</w:t>
            </w:r>
            <w:r>
              <w:rPr>
                <w:rFonts w:cs="Tahoma" w:ascii="Tahoma" w:hAnsi="Tahoma"/>
                <w:sz w:val="16"/>
                <w:szCs w:val="18"/>
                <w:shd w:fill="auto" w:val="clear"/>
                <w:lang w:val="es-ES" w:eastAsia="en-US"/>
              </w:rPr>
              <w:t>)</w:t>
            </w:r>
          </w:p>
        </w:tc>
        <w:tc>
          <w:tcPr>
            <w:tcW w:w="1394" w:type="dxa"/>
            <w:tcBorders>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1</w:t>
            </w:r>
          </w:p>
        </w:tc>
        <w:tc>
          <w:tcPr>
            <w:tcW w:w="2494"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1445"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4218" w:type="dxa"/>
            <w:tcBorders>
              <w:top w:val="single" w:sz="4" w:space="0" w:color="000000"/>
              <w:left w:val="single" w:sz="8" w:space="0" w:color="000000"/>
              <w:bottom w:val="single" w:sz="8" w:space="0" w:color="000000"/>
              <w:right w:val="single" w:sz="8" w:space="0" w:color="000000"/>
            </w:tcBorders>
          </w:tcPr>
          <w:p>
            <w:pPr>
              <w:pStyle w:val="Normal"/>
              <w:widowControl w:val="false"/>
              <w:rPr>
                <w:szCs w:val="22"/>
                <w:shd w:fill="auto" w:val="clear"/>
                <w:lang w:val="es-ES" w:eastAsia="en-US"/>
              </w:rPr>
            </w:pPr>
            <w:r>
              <w:rPr>
                <w:rFonts w:cs="Tahoma" w:ascii="Tahoma" w:hAnsi="Tahoma"/>
                <w:sz w:val="16"/>
                <w:szCs w:val="18"/>
                <w:shd w:fill="auto" w:val="clear"/>
                <w:lang w:val="es-ES" w:eastAsia="en-US"/>
              </w:rPr>
              <w:t xml:space="preserve">  </w:t>
            </w:r>
            <w:r>
              <w:rPr>
                <w:rFonts w:cs="Tahoma" w:ascii="Tahoma" w:hAnsi="Tahoma"/>
                <w:sz w:val="16"/>
                <w:szCs w:val="18"/>
                <w:shd w:fill="auto" w:val="clear"/>
                <w:lang w:val="es-ES" w:eastAsia="en-US"/>
              </w:rPr>
              <w:t>Curso o Taller en herramientas Ofimática (</w:t>
            </w:r>
            <w:r>
              <w:rPr>
                <w:rFonts w:eastAsia="Tahoma" w:cs="Verdana"/>
                <w:color w:val="000000"/>
                <w:kern w:val="0"/>
                <w:sz w:val="16"/>
                <w:szCs w:val="16"/>
                <w:shd w:fill="auto" w:val="clear"/>
                <w:lang w:val="es-ES" w:eastAsia="zh-CN" w:bidi="ar-SA"/>
              </w:rPr>
              <w:t>LibreOffice Calc</w:t>
            </w:r>
            <w:r>
              <w:rPr>
                <w:rFonts w:cs="Tahoma" w:ascii="Tahoma" w:hAnsi="Tahoma"/>
                <w:sz w:val="16"/>
                <w:szCs w:val="18"/>
                <w:shd w:fill="auto" w:val="clear"/>
                <w:lang w:val="es-ES" w:eastAsia="en-US"/>
              </w:rPr>
              <w:t>)</w:t>
            </w:r>
          </w:p>
        </w:tc>
        <w:tc>
          <w:tcPr>
            <w:tcW w:w="1394"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kern w:val="0"/>
                <w:sz w:val="16"/>
                <w:szCs w:val="16"/>
                <w:lang w:eastAsia="en-US" w:bidi="ar-SA"/>
              </w:rPr>
            </w:pPr>
            <w:r>
              <w:rPr>
                <w:rFonts w:cs="Tahoma" w:ascii="Tahoma" w:hAnsi="Tahoma"/>
                <w:b/>
                <w:kern w:val="0"/>
                <w:sz w:val="16"/>
                <w:szCs w:val="16"/>
                <w:lang w:eastAsia="en-US" w:bidi="ar-SA"/>
              </w:rPr>
              <w:t>1</w:t>
            </w:r>
          </w:p>
        </w:tc>
        <w:tc>
          <w:tcPr>
            <w:tcW w:w="2494"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1445"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numPr>
                <w:ilvl w:val="0"/>
                <w:numId w:val="0"/>
              </w:numPr>
              <w:spacing w:before="0" w:after="0"/>
              <w:ind w:hanging="0" w:left="316" w:right="0"/>
              <w:jc w:val="left"/>
              <w:rPr>
                <w:rFonts w:ascii="Tahoma" w:hAnsi="Tahoma" w:cs="Tahoma"/>
                <w:b/>
                <w:kern w:val="0"/>
                <w:sz w:val="14"/>
                <w:szCs w:val="14"/>
                <w:lang w:bidi="ar-SA"/>
              </w:rPr>
            </w:pPr>
            <w:r>
              <w:rPr>
                <w:rFonts w:cs="Tahoma" w:ascii="Tahoma" w:hAnsi="Tahoma"/>
                <w:b/>
                <w:kern w:val="0"/>
                <w:sz w:val="14"/>
                <w:szCs w:val="14"/>
                <w:lang w:bidi="ar-SA"/>
              </w:rPr>
              <w:t>ENTREVISTA Y/O EXÁMEN</w:t>
            </w:r>
          </w:p>
        </w:tc>
        <w:tc>
          <w:tcPr>
            <w:tcW w:w="4218" w:type="dxa"/>
            <w:tcBorders>
              <w:top w:val="single" w:sz="4" w:space="0" w:color="000000"/>
              <w:left w:val="single" w:sz="4" w:space="0" w:color="000000"/>
              <w:bottom w:val="single" w:sz="4" w:space="0" w:color="000000"/>
              <w:right w:val="single" w:sz="4" w:space="0" w:color="000000"/>
            </w:tcBorders>
            <w:vAlign w:val="center"/>
          </w:tcPr>
          <w:p>
            <w:pPr>
              <w:pStyle w:val="Normal"/>
              <w:widowControl/>
              <w:spacing w:before="0" w:after="0"/>
              <w:jc w:val="both"/>
              <w:rPr/>
            </w:pPr>
            <w:r>
              <w:rPr>
                <w:rFonts w:eastAsia="Times New Roman" w:cs="Tahoma" w:ascii="Tahoma" w:hAnsi="Tahoma"/>
                <w:b/>
                <w:kern w:val="0"/>
                <w:sz w:val="16"/>
                <w:szCs w:val="16"/>
                <w:shd w:fill="auto" w:val="clear"/>
                <w:lang w:val="es-ES" w:bidi="ar-SA"/>
              </w:rPr>
              <w:t xml:space="preserve">Entrevista y/o Exámen </w:t>
            </w:r>
            <w:r>
              <w:rPr>
                <w:rFonts w:eastAsia="Times New Roman" w:cs="Tahoma" w:ascii="Tahoma" w:hAnsi="Tahoma"/>
                <w:kern w:val="0"/>
                <w:sz w:val="20"/>
                <w:szCs w:val="20"/>
                <w:shd w:fill="auto" w:val="clear"/>
                <w:lang w:val="es-BO" w:bidi="ar-SA"/>
              </w:rPr>
              <w:t>(</w:t>
            </w:r>
            <w:r>
              <w:rPr>
                <w:rFonts w:eastAsia="Times New Roman" w:cs="Tahoma" w:ascii="Tahoma" w:hAnsi="Tahoma"/>
                <w:b/>
                <w:i/>
                <w:kern w:val="0"/>
                <w:sz w:val="16"/>
                <w:szCs w:val="16"/>
                <w:shd w:fill="auto" w:val="clear"/>
                <w:lang w:val="es-BO" w:bidi="ar-SA"/>
              </w:rPr>
              <w:t>Los candidatos seleccionados serán entrevistados y/o tomarán una prueba de conocimientos, por la Comisión de Calificación en instalaciones de la Gerencia Distrital Montero. previo a la fecha de Adjudicación establecido en el cronograma de plazos de la convocatoria)</w:t>
            </w:r>
          </w:p>
          <w:p>
            <w:pPr>
              <w:pStyle w:val="NoSpacing"/>
              <w:widowControl/>
              <w:spacing w:before="0" w:after="0"/>
              <w:jc w:val="left"/>
              <w:rPr>
                <w:rFonts w:ascii="Tahoma" w:hAnsi="Tahoma" w:cs="Tahoma"/>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c>
          <w:tcPr>
            <w:tcW w:w="1394" w:type="dxa"/>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kern w:val="0"/>
                <w:sz w:val="16"/>
                <w:szCs w:val="16"/>
                <w:shd w:fill="auto" w:val="clear"/>
                <w:lang w:eastAsia="en-US" w:bidi="ar-SA"/>
              </w:rPr>
            </w:pPr>
            <w:r>
              <w:rPr>
                <w:rFonts w:cs="Tahoma" w:ascii="Tahoma" w:hAnsi="Tahoma"/>
                <w:b/>
                <w:kern w:val="0"/>
                <w:sz w:val="16"/>
                <w:szCs w:val="16"/>
                <w:shd w:fill="auto" w:val="clear"/>
                <w:lang w:eastAsia="en-US" w:bidi="ar-SA"/>
              </w:rPr>
              <w:t>25</w:t>
            </w:r>
          </w:p>
        </w:tc>
        <w:tc>
          <w:tcPr>
            <w:tcW w:w="2494"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i/>
                <w:i/>
                <w:kern w:val="0"/>
                <w:sz w:val="16"/>
                <w:szCs w:val="16"/>
                <w:shd w:fill="auto" w:val="clear"/>
                <w:lang w:val="es-BO" w:eastAsia="en-US" w:bidi="ar-SA"/>
              </w:rPr>
            </w:pPr>
            <w:r>
              <w:rPr>
                <w:rFonts w:cs="Tahoma" w:ascii="Tahoma" w:hAnsi="Tahoma"/>
                <w:b/>
                <w:i/>
                <w:kern w:val="0"/>
                <w:sz w:val="16"/>
                <w:szCs w:val="16"/>
                <w:shd w:fill="auto" w:val="clear"/>
                <w:lang w:val="es-BO" w:eastAsia="en-US" w:bidi="ar-SA"/>
              </w:rPr>
              <w:t>MANIFESTAR ACEPTACIÓN</w:t>
            </w:r>
          </w:p>
        </w:tc>
      </w:tr>
    </w:tbl>
    <w:p>
      <w:pPr>
        <w:pStyle w:val="Normal"/>
        <w:spacing w:lineRule="exact" w:line="200"/>
        <w:rPr>
          <w:rFonts w:cs="Arial"/>
          <w:b/>
          <w:szCs w:val="18"/>
          <w:lang w:val="es-BO"/>
        </w:rPr>
      </w:pPr>
      <w:r>
        <w:rPr>
          <w:rFonts w:cs="Arial"/>
          <w:b/>
          <w:szCs w:val="18"/>
          <w:lang w:val="es-BO"/>
        </w:rPr>
      </w:r>
    </w:p>
    <w:p>
      <w:pPr>
        <w:pStyle w:val="Normal"/>
        <w:ind w:lef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V-1</w:t>
        <w:tab/>
        <w:t xml:space="preserve">Formulario de Evaluación Preliminar </w:t>
      </w:r>
    </w:p>
    <w:p>
      <w:pPr>
        <w:pStyle w:val="Normal"/>
        <w:ind w:hanging="2124" w:left="2124"/>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left="2124"/>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29"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29"/>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3"/>
        <w:gridCol w:w="205"/>
        <w:gridCol w:w="36"/>
        <w:gridCol w:w="257"/>
        <w:gridCol w:w="252"/>
        <w:gridCol w:w="248"/>
        <w:gridCol w:w="249"/>
        <w:gridCol w:w="180"/>
        <w:gridCol w:w="64"/>
        <w:gridCol w:w="254"/>
        <w:gridCol w:w="244"/>
        <w:gridCol w:w="248"/>
        <w:gridCol w:w="246"/>
        <w:gridCol w:w="246"/>
        <w:gridCol w:w="83"/>
        <w:gridCol w:w="161"/>
        <w:gridCol w:w="246"/>
        <w:gridCol w:w="243"/>
        <w:gridCol w:w="246"/>
        <w:gridCol w:w="259"/>
        <w:gridCol w:w="241"/>
        <w:gridCol w:w="249"/>
        <w:gridCol w:w="241"/>
        <w:gridCol w:w="262"/>
        <w:gridCol w:w="176"/>
        <w:gridCol w:w="135"/>
        <w:gridCol w:w="14"/>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1"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1" w:type="dxa"/>
            <w:gridSpan w:val="2"/>
            <w:tcBorders>
              <w:left w:val="single" w:sz="4"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c>
          <w:tcPr>
            <w:tcW w:w="14" w:type="dxa"/>
            <w:tcBorders/>
          </w:tcPr>
          <w:p>
            <w:pPr>
              <w:pStyle w:val="Normal"/>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5"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3"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473"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63"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473"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63"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22"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85"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55"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18"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63"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0"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hanging="283" w:left="397" w:right="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hanging="283" w:left="397" w:right="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Arial" w:hAnsi="Arial" w:cs="Arial"/>
                <w:b/>
                <w:lang w:val="es-BO"/>
              </w:rPr>
            </w:pPr>
            <w:r>
              <w:rPr>
                <w:rFonts w:cs="Arial" w:ascii="Arial" w:hAnsi="Arial"/>
                <w:b/>
                <w:lang w:val="es-BO"/>
              </w:rPr>
              <w:t>PROPUESTA TÉCNICA</w:t>
            </w:r>
          </w:p>
        </w:tc>
        <w:tc>
          <w:tcPr>
            <w:tcW w:w="5080"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hanging="340" w:left="340" w:right="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hanging="283" w:left="397" w:right="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22"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5"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5"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8"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3"/>
        <w:gridCol w:w="1218"/>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0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18"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218"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8"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MODELO DE 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uppressAutoHyphens w:val="true"/>
        <w:spacing w:before="0" w:after="200"/>
        <w:ind w:hanging="425" w:left="425" w:right="-96"/>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30"/>
        </w:numPr>
        <w:suppressAutoHyphens w:val="true"/>
        <w:ind w:hanging="426" w:left="426"/>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w:t>
      </w:r>
      <w:bookmarkStart w:id="130" w:name="_GoBack"/>
      <w:bookmarkEnd w:id="130"/>
      <w:r>
        <w:rPr>
          <w:rFonts w:eastAsia="Verdana" w:cs="Tahoma" w:ascii="Tahoma" w:hAnsi="Tahoma"/>
          <w:sz w:val="20"/>
          <w:szCs w:val="20"/>
          <w:shd w:fill="FFFFFF" w:val="clear"/>
          <w:lang w:val="es-BO" w:eastAsia="en-US"/>
        </w:rPr>
        <w:t>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suppressAutoHyphens w:val="true"/>
        <w:ind w:hanging="851" w:left="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29"/>
        </w:numPr>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29"/>
        </w:numPr>
        <w:tabs>
          <w:tab w:val="clear" w:pos="709"/>
          <w:tab w:val="left" w:pos="1646" w:leader="none"/>
        </w:tabs>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29"/>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29"/>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29"/>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29"/>
        </w:numPr>
        <w:tabs>
          <w:tab w:val="clear" w:pos="709"/>
          <w:tab w:val="left" w:pos="1988" w:leader="none"/>
        </w:tabs>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0"/>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1"/>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2"/>
        </w:numPr>
        <w:suppressAutoHyphens w:val="true"/>
        <w:ind w:hanging="426" w:left="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3"/>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4"/>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5"/>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6"/>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17"/>
        </w:numPr>
        <w:suppressAutoHyphens w:val="true"/>
        <w:ind w:hanging="426" w:left="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18"/>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19"/>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0"/>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2"/>
        </w:numPr>
        <w:suppressAutoHyphens w:val="true"/>
        <w:ind w:hanging="510" w:left="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3"/>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1"/>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2"/>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textAlignment w:val="baseline"/>
        <w:rPr>
          <w:rFonts w:eastAsia="Verdana" w:cs="Verdana"/>
          <w:lang w:val="es-BO"/>
        </w:rPr>
      </w:pPr>
      <w:r>
        <w:rPr>
          <w:rFonts w:eastAsia="Verdana" w:cs="Verdana"/>
          <w:lang w:val="es-BO"/>
        </w:rPr>
      </w:r>
    </w:p>
    <w:p>
      <w:pPr>
        <w:pStyle w:val="Normal"/>
        <w:widowControl w:val="false"/>
        <w:numPr>
          <w:ilvl w:val="0"/>
          <w:numId w:val="123"/>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4"/>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5"/>
        </w:numPr>
        <w:tabs>
          <w:tab w:val="clear" w:pos="709"/>
          <w:tab w:val="left" w:pos="1245" w:leader="none"/>
        </w:tabs>
        <w:suppressAutoHyphens w:val="true"/>
        <w:spacing w:before="0" w:after="160"/>
        <w:ind w:hanging="737" w:left="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6"/>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4"/>
        </w:numPr>
        <w:suppressAutoHyphens w:val="true"/>
        <w:spacing w:before="0" w:after="160"/>
        <w:ind w:hanging="425" w:left="1134"/>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textAlignment w:val="baseline"/>
        <w:rPr>
          <w:rFonts w:eastAsia="Verdana" w:cs="Verdana"/>
          <w:lang w:val="es-BO"/>
        </w:rPr>
      </w:pPr>
      <w:r>
        <w:rPr>
          <w:rFonts w:eastAsia="Verdana" w:cs="Verdana"/>
          <w:lang w:val="es-BO"/>
        </w:rPr>
      </w:r>
    </w:p>
    <w:p>
      <w:pPr>
        <w:pStyle w:val="Normal"/>
        <w:widowControl w:val="false"/>
        <w:numPr>
          <w:ilvl w:val="0"/>
          <w:numId w:val="127"/>
        </w:numPr>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28"/>
        </w:numPr>
        <w:tabs>
          <w:tab w:val="clear" w:pos="709"/>
          <w:tab w:val="left" w:pos="1190" w:leader="none"/>
        </w:tabs>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5"/>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29"/>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0"/>
        </w:numPr>
        <w:suppressAutoHyphens w:val="true"/>
        <w:spacing w:before="0" w:after="120"/>
        <w:ind w:hanging="425" w:left="1134"/>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1"/>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2"/>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3"/>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4"/>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5"/>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6"/>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7"/>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38"/>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39"/>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0"/>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1"/>
        </w:numPr>
        <w:tabs>
          <w:tab w:val="clear" w:pos="709"/>
          <w:tab w:val="left" w:pos="156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2"/>
        </w:numPr>
        <w:tabs>
          <w:tab w:val="clear" w:pos="709"/>
          <w:tab w:val="left" w:pos="156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3"/>
        </w:numPr>
        <w:tabs>
          <w:tab w:val="clear" w:pos="709"/>
          <w:tab w:val="left" w:pos="960" w:leader="none"/>
          <w:tab w:val="left" w:pos="1133" w:leader="none"/>
        </w:tabs>
        <w:suppressAutoHyphens w:val="true"/>
        <w:ind w:hanging="313" w:left="426"/>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4"/>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5"/>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6"/>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47"/>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48"/>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49"/>
        </w:numPr>
        <w:suppressAutoHyphens w:val="true"/>
        <w:ind w:hanging="454" w:left="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0"/>
        </w:numPr>
        <w:suppressAutoHyphens w:val="true"/>
        <w:ind w:hanging="454"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2"/>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3"/>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4"/>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hanging="426"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hanging="426" w:left="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hanging="426" w:left="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7"/>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7"/>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7"/>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7"/>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8"/>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8"/>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8"/>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hanging="426" w:left="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58"/>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59"/>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0"/>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1"/>
        </w:numPr>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2"/>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3"/>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4"/>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5"/>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6"/>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67"/>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68"/>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69"/>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0"/>
        </w:numPr>
        <w:suppressAutoHyphens w:val="true"/>
        <w:spacing w:before="0" w:after="120"/>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1"/>
        </w:numPr>
        <w:suppressAutoHyphens w:val="true"/>
        <w:ind w:hanging="567" w:left="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1"/>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2"/>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3"/>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suppressAutoHyphens w:val="true"/>
        <w:ind w:hanging="578" w:left="567"/>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4"/>
        </w:numPr>
        <w:tabs>
          <w:tab w:val="clear" w:pos="709"/>
          <w:tab w:val="left" w:pos="1532" w:leader="none"/>
          <w:tab w:val="left" w:pos="1590"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5"/>
        </w:numPr>
        <w:tabs>
          <w:tab w:val="clear" w:pos="709"/>
          <w:tab w:val="left" w:pos="1532"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6"/>
        </w:numPr>
        <w:suppressAutoHyphens w:val="true"/>
        <w:ind w:hanging="737" w:left="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1"/>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1"/>
        </w:numPr>
        <w:suppressAutoHyphens w:val="true"/>
        <w:ind w:hanging="567" w:left="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77"/>
        </w:numPr>
        <w:suppressAutoHyphens w:val="true"/>
        <w:ind w:hanging="850" w:left="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78"/>
        </w:numPr>
        <w:suppressAutoHyphens w:val="true"/>
        <w:spacing w:before="114" w:after="114"/>
        <w:ind w:hanging="850" w:left="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1"/>
        </w:numPr>
        <w:suppressAutoHyphens w:val="true"/>
        <w:ind w:hanging="567" w:left="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Standard"/>
        <w:rPr>
          <w:rFonts w:cs="Arial"/>
          <w:b/>
          <w:szCs w:val="18"/>
          <w:lang w:val="es-BO"/>
        </w:rPr>
      </w:pPr>
      <w:r>
        <w:rPr>
          <w:rFonts w:cs="Arial"/>
          <w:b/>
          <w:szCs w:val="18"/>
          <w:lang w:val="es-BO"/>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Times New Roman">
    <w:charset w:val="01"/>
    <w:family w:val="roman"/>
    <w:pitch w:val="default"/>
  </w:font>
  <w:font w:name="Symbol">
    <w:charset w:val="02"/>
    <w:family w:val="auto"/>
    <w:pitch w:val="default"/>
  </w:font>
  <w:font w:name="Verdana">
    <w:charset w:val="01"/>
    <w:family w:val="swiss"/>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55">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14</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14</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5">
              <wp:simplePos x="0" y="0"/>
              <wp:positionH relativeFrom="margin">
                <wp:align>right</wp:align>
              </wp:positionH>
              <wp:positionV relativeFrom="paragraph">
                <wp:posOffset>635</wp:posOffset>
              </wp:positionV>
              <wp:extent cx="146050" cy="132080"/>
              <wp:effectExtent l="0" t="0" r="0" b="0"/>
              <wp:wrapSquare wrapText="bothSides"/>
              <wp:docPr id="5" name="Marco6"/>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49</w:t>
                          </w:r>
                          <w:r>
                            <w:rPr>
                              <w:rStyle w:val="Pagenumber"/>
                              <w:color w:val="000000"/>
                            </w:rPr>
                            <w:fldChar w:fldCharType="end"/>
                          </w:r>
                        </w:p>
                      </w:txbxContent>
                    </wps:txbx>
                    <wps:bodyPr lIns="0" rIns="0" tIns="0" bIns="0" anchor="t">
                      <a:spAutoFit/>
                    </wps:bodyPr>
                  </wps:wsp>
                </a:graphicData>
              </a:graphic>
            </wp:anchor>
          </w:drawing>
        </mc:Choice>
        <mc:Fallback>
          <w:pict>
            <v:rect id="shape_0" ID="Marco6"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49</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340" w:hanging="34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bullet"/>
      <w:lvlText w:val=""/>
      <w:lvlJc w:val="left"/>
      <w:pPr>
        <w:tabs>
          <w:tab w:val="num" w:pos="814"/>
        </w:tabs>
        <w:ind w:left="814" w:hanging="454"/>
      </w:pPr>
      <w:rPr>
        <w:rFonts w:ascii="Wingdings" w:hAnsi="Wingdings" w:cs="Wingdings" w:hint="default"/>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decimal"/>
      <w:lvlText w:val="%1."/>
      <w:lvlJc w:val="left"/>
      <w:pPr>
        <w:tabs>
          <w:tab w:val="num" w:pos="360"/>
        </w:tabs>
        <w:ind w:left="360" w:hanging="360"/>
      </w:pPr>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bullet"/>
      <w:lvlText w:val=""/>
      <w:lvlJc w:val="left"/>
      <w:pPr>
        <w:tabs>
          <w:tab w:val="num" w:pos="0"/>
        </w:tabs>
        <w:ind w:left="0" w:hanging="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bullet"/>
      <w:lvlText w:val=""/>
      <w:lvlJc w:val="left"/>
      <w:pPr>
        <w:tabs>
          <w:tab w:val="num" w:pos="957"/>
        </w:tabs>
        <w:ind w:left="957" w:hanging="360"/>
      </w:pPr>
      <w:rPr>
        <w:rFonts w:ascii="Symbol" w:hAnsi="Symbol" w:cs="Symbol" w:hint="default"/>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bullet"/>
      <w:lvlText w:val=""/>
      <w:lvlJc w:val="left"/>
      <w:pPr>
        <w:tabs>
          <w:tab w:val="num" w:pos="1080"/>
        </w:tabs>
        <w:ind w:left="1080" w:hanging="360"/>
      </w:pPr>
      <w:rPr>
        <w:rFonts w:ascii="Symbol" w:hAnsi="Symbol" w:cs="Symbol" w:hint="default"/>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bullet"/>
      <w:lvlText w:val=""/>
      <w:lvlJc w:val="left"/>
      <w:pPr>
        <w:tabs>
          <w:tab w:val="num" w:pos="1440"/>
        </w:tabs>
        <w:ind w:left="1440" w:hanging="360"/>
      </w:pPr>
      <w:rPr>
        <w:rFonts w:ascii="Wingdings" w:hAnsi="Wingdings" w:cs="Wingdings"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bullet"/>
      <w:lvlText w:val=""/>
      <w:lvlJc w:val="left"/>
      <w:pPr>
        <w:tabs>
          <w:tab w:val="num" w:pos="420"/>
        </w:tabs>
        <w:ind w:left="420" w:hanging="420"/>
      </w:pPr>
      <w:rPr>
        <w:rFonts w:ascii="Symbol" w:hAnsi="Symbol" w:cs="Symbol" w:hint="default"/>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themeColor="background1"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0">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1">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3">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4">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8">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3">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1">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0">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8">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40"/>
    <w:lvlOverride w:ilvl="0">
      <w:startOverride w:val="1"/>
    </w:lvlOverride>
  </w:num>
  <w:num w:numId="111">
    <w:abstractNumId w:val="40"/>
  </w:num>
  <w:num w:numId="112">
    <w:abstractNumId w:val="40"/>
  </w:num>
  <w:num w:numId="113">
    <w:abstractNumId w:val="40"/>
  </w:num>
  <w:num w:numId="114">
    <w:abstractNumId w:val="40"/>
  </w:num>
  <w:num w:numId="115">
    <w:abstractNumId w:val="40"/>
  </w:num>
  <w:num w:numId="116">
    <w:abstractNumId w:val="40"/>
  </w:num>
  <w:num w:numId="117">
    <w:abstractNumId w:val="40"/>
  </w:num>
  <w:num w:numId="118">
    <w:abstractNumId w:val="40"/>
  </w:num>
  <w:num w:numId="119">
    <w:abstractNumId w:val="40"/>
  </w:num>
  <w:num w:numId="120">
    <w:abstractNumId w:val="40"/>
  </w:num>
  <w:num w:numId="121">
    <w:abstractNumId w:val="33"/>
  </w:num>
  <w:num w:numId="122">
    <w:abstractNumId w:val="33"/>
  </w:num>
  <w:num w:numId="123">
    <w:abstractNumId w:val="33"/>
  </w:num>
  <w:num w:numId="124">
    <w:abstractNumId w:val="33"/>
  </w:num>
  <w:num w:numId="125">
    <w:abstractNumId w:val="32"/>
  </w:num>
  <w:num w:numId="126">
    <w:abstractNumId w:val="33"/>
  </w:num>
  <w:num w:numId="127">
    <w:abstractNumId w:val="32"/>
  </w:num>
  <w:num w:numId="128">
    <w:abstractNumId w:val="32"/>
  </w:num>
  <w:num w:numId="129">
    <w:abstractNumId w:val="35"/>
  </w:num>
  <w:num w:numId="130">
    <w:abstractNumId w:val="35"/>
  </w:num>
  <w:num w:numId="131">
    <w:abstractNumId w:val="35"/>
  </w:num>
  <w:num w:numId="132">
    <w:abstractNumId w:val="35"/>
  </w:num>
  <w:num w:numId="133">
    <w:abstractNumId w:val="35"/>
  </w:num>
  <w:num w:numId="134">
    <w:abstractNumId w:val="35"/>
  </w:num>
  <w:num w:numId="135">
    <w:abstractNumId w:val="35"/>
  </w:num>
  <w:num w:numId="136">
    <w:abstractNumId w:val="35"/>
  </w:num>
  <w:num w:numId="137">
    <w:abstractNumId w:val="32"/>
  </w:num>
  <w:num w:numId="138">
    <w:abstractNumId w:val="32"/>
  </w:num>
  <w:num w:numId="139">
    <w:abstractNumId w:val="32"/>
  </w:num>
  <w:num w:numId="140">
    <w:abstractNumId w:val="70"/>
    <w:lvlOverride w:ilvl="0">
      <w:startOverride w:val="1"/>
    </w:lvlOverride>
  </w:num>
  <w:num w:numId="141">
    <w:abstractNumId w:val="70"/>
  </w:num>
  <w:num w:numId="142">
    <w:abstractNumId w:val="70"/>
  </w:num>
  <w:num w:numId="143">
    <w:abstractNumId w:val="70"/>
  </w:num>
  <w:num w:numId="144">
    <w:abstractNumId w:val="70"/>
  </w:num>
  <w:num w:numId="145">
    <w:abstractNumId w:val="70"/>
  </w:num>
  <w:num w:numId="146">
    <w:abstractNumId w:val="70"/>
  </w:num>
  <w:num w:numId="147">
    <w:abstractNumId w:val="70"/>
  </w:num>
  <w:num w:numId="148">
    <w:abstractNumId w:val="70"/>
  </w:num>
  <w:num w:numId="149">
    <w:abstractNumId w:val="79"/>
    <w:lvlOverride w:ilvl="0">
      <w:startOverride w:val="1"/>
    </w:lvlOverride>
  </w:num>
  <w:num w:numId="150">
    <w:abstractNumId w:val="79"/>
  </w:num>
  <w:num w:numId="151">
    <w:abstractNumId w:val="36"/>
  </w:num>
  <w:num w:numId="152">
    <w:abstractNumId w:val="36"/>
  </w:num>
  <w:num w:numId="153">
    <w:abstractNumId w:val="36"/>
  </w:num>
  <w:num w:numId="154">
    <w:abstractNumId w:val="36"/>
  </w:num>
  <w:num w:numId="155">
    <w:abstractNumId w:val="36"/>
  </w:num>
  <w:num w:numId="156">
    <w:abstractNumId w:val="36"/>
  </w:num>
  <w:num w:numId="157">
    <w:abstractNumId w:val="36"/>
  </w:num>
  <w:num w:numId="158">
    <w:abstractNumId w:val="88"/>
    <w:lvlOverride w:ilvl="0">
      <w:startOverride w:val="1"/>
    </w:lvlOverride>
  </w:num>
  <w:num w:numId="159">
    <w:abstractNumId w:val="88"/>
  </w:num>
  <w:num w:numId="160">
    <w:abstractNumId w:val="90"/>
    <w:lvlOverride w:ilvl="0">
      <w:startOverride w:val="1"/>
    </w:lvlOverride>
  </w:num>
  <w:num w:numId="161">
    <w:abstractNumId w:val="90"/>
  </w:num>
  <w:num w:numId="162">
    <w:abstractNumId w:val="90"/>
  </w:num>
  <w:num w:numId="163">
    <w:abstractNumId w:val="90"/>
  </w:num>
  <w:num w:numId="164">
    <w:abstractNumId w:val="90"/>
  </w:num>
  <w:num w:numId="165">
    <w:abstractNumId w:val="90"/>
  </w:num>
  <w:num w:numId="166">
    <w:abstractNumId w:val="90"/>
  </w:num>
  <w:num w:numId="167">
    <w:abstractNumId w:val="90"/>
  </w:num>
  <w:num w:numId="168">
    <w:abstractNumId w:val="90"/>
  </w:num>
  <w:num w:numId="169">
    <w:abstractNumId w:val="90"/>
  </w:num>
  <w:num w:numId="170">
    <w:abstractNumId w:val="90"/>
  </w:num>
  <w:num w:numId="171">
    <w:abstractNumId w:val="101"/>
    <w:lvlOverride w:ilvl="0">
      <w:startOverride w:val="1"/>
    </w:lvlOverride>
  </w:num>
  <w:num w:numId="172">
    <w:abstractNumId w:val="101"/>
  </w:num>
  <w:num w:numId="173">
    <w:abstractNumId w:val="101"/>
  </w:num>
  <w:num w:numId="174">
    <w:abstractNumId w:val="104"/>
    <w:lvlOverride w:ilvl="0">
      <w:startOverride w:val="1"/>
    </w:lvlOverride>
  </w:num>
  <w:num w:numId="175">
    <w:abstractNumId w:val="104"/>
  </w:num>
  <w:num w:numId="176">
    <w:abstractNumId w:val="104"/>
  </w:num>
  <w:num w:numId="177">
    <w:abstractNumId w:val="107"/>
    <w:lvlOverride w:ilvl="0">
      <w:startOverride w:val="1"/>
    </w:lvlOverride>
  </w:num>
  <w:num w:numId="178">
    <w:abstractNumId w:val="107"/>
  </w:num>
</w:numbering>
</file>

<file path=word/settings.xml><?xml version="1.0" encoding="utf-8"?>
<w:settings xmlns:w="http://schemas.openxmlformats.org/wordprocessingml/2006/main">
  <w:zoom w:percent="22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3"/>
      </w:numPr>
      <w:outlineLvl w:val="2"/>
    </w:pPr>
    <w:rPr>
      <w:szCs w:val="20"/>
      <w:lang w:val="es-MX"/>
    </w:rPr>
  </w:style>
  <w:style w:type="paragraph" w:styleId="Heading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Heading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basedOn w:val="DefaultParagraphFont"/>
    <w:qFormat/>
    <w:rPr>
      <w:b/>
      <w:bCs/>
    </w:rPr>
  </w:style>
  <w:style w:type="character" w:styleId="Smbolosdenumeracin">
    <w:name w:val="Símbolos de numeración"/>
    <w:qFormat/>
    <w:rPr/>
  </w:style>
  <w:style w:type="character" w:styleId="Bolos">
    <w:name w:val="Bolos"/>
    <w:qFormat/>
    <w:rPr>
      <w:rFonts w:ascii="OpenSymbol" w:hAnsi="OpenSymbol" w:eastAsia="OpenSymbol" w:cs="OpenSymbol"/>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jc w:val="center"/>
    </w:pPr>
    <w:rPr>
      <w:rFonts w:ascii="Times New Roman" w:hAnsi="Times New Roman"/>
      <w:sz w:val="22"/>
      <w:szCs w:val="20"/>
      <w:lang w:eastAsia="en-US"/>
    </w:rPr>
  </w:style>
  <w:style w:type="paragraph" w:styleId="Cabeceraypie">
    <w:name w:val="Cabecera y pie"/>
    <w:basedOn w:val="Normal"/>
    <w:qFormat/>
    <w:pPr/>
    <w:rPr/>
  </w:style>
  <w:style w:type="paragraph" w:styleId="Header">
    <w:name w:val="Header"/>
    <w:basedOn w:val="Normal"/>
    <w:link w:val="EncabezadoCar"/>
    <w:uiPriority w:val="99"/>
    <w:rsid w:val="00c41605"/>
    <w:pPr>
      <w:tabs>
        <w:tab w:val="clear" w:pos="709"/>
        <w:tab w:val="center" w:pos="4419" w:leader="none"/>
        <w:tab w:val="right" w:pos="8838" w:leader="none"/>
      </w:tabs>
    </w:pPr>
    <w:rPr/>
  </w:style>
  <w:style w:type="paragraph" w:styleId="Footer">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overflowPunct w:val="false"/>
      <w:spacing w:before="0" w:after="120"/>
      <w:ind w:hanging="288" w:lef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hanging="720" w:lef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hanging="432" w:lef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left="283"/>
    </w:pPr>
    <w:rPr>
      <w:rFonts w:ascii="Times New Roman" w:hAnsi="Times New Roman"/>
      <w:sz w:val="20"/>
      <w:szCs w:val="20"/>
      <w:lang w:eastAsia="en-US"/>
    </w:rPr>
  </w:style>
  <w:style w:type="paragraph" w:styleId="Title">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autoRedefine/>
    <w:rsid w:val="00b847f4"/>
    <w:pPr>
      <w:tabs>
        <w:tab w:val="clear" w:pos="709"/>
        <w:tab w:val="left" w:pos="1209" w:leader="none"/>
      </w:tabs>
      <w:ind w:hanging="360" w:left="1209"/>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
    <w:name w:val="caption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lef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left="44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Ttulodelatabla">
    <w:name w:val="Título de la tabla"/>
    <w:basedOn w:val="Contenidodelatabla"/>
    <w:qFormat/>
    <w:pPr>
      <w:suppressLineNumbers/>
      <w:jc w:val="center"/>
    </w:pPr>
    <w:rPr>
      <w:b/>
      <w:bCs/>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28929-0339-4829-BB71-0C61DA761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Application>LibreOffice/7.6.6.3$Linux_X86_64 LibreOffice_project/60$Build-3</Application>
  <AppVersion>15.0000</AppVersion>
  <Pages>49</Pages>
  <Words>17916</Words>
  <Characters>100145</Characters>
  <CharactersWithSpaces>116937</CharactersWithSpaces>
  <Paragraphs>1060</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2026-02-23T15:40:00Z</cp:lastPrinted>
  <dcterms:modified xsi:type="dcterms:W3CDTF">2026-02-23T15:44:59Z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